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both"/>
        <w:rPr>
          <w:rFonts w:hint="default" w:ascii="黑体" w:hAnsi="黑体" w:eastAsia="黑体" w:cs="黑体"/>
          <w:sz w:val="32"/>
          <w:szCs w:val="32"/>
          <w:lang w:val="en-US" w:eastAsia="zh-CN"/>
        </w:rPr>
      </w:pPr>
      <w:r>
        <w:rPr>
          <w:rFonts w:hint="eastAsia" w:ascii="黑体" w:hAnsi="黑体" w:eastAsia="黑体" w:cs="黑体"/>
          <w:sz w:val="32"/>
          <w:szCs w:val="32"/>
          <w:lang w:val="en-US" w:eastAsia="zh-CN"/>
        </w:rPr>
        <w:t>2025.8.22</w:t>
      </w:r>
    </w:p>
    <w:p>
      <w:pPr>
        <w:keepNext w:val="0"/>
        <w:keepLines w:val="0"/>
        <w:pageBreakBefore w:val="0"/>
        <w:widowControl w:val="0"/>
        <w:kinsoku/>
        <w:wordWrap/>
        <w:overflowPunct/>
        <w:topLinePunct w:val="0"/>
        <w:autoSpaceDE/>
        <w:autoSpaceDN/>
        <w:bidi w:val="0"/>
        <w:adjustRightInd/>
        <w:snapToGrid/>
        <w:spacing w:before="313" w:beforeLines="100" w:line="400" w:lineRule="exact"/>
        <w:jc w:val="center"/>
        <w:textAlignment w:val="auto"/>
        <w:rPr>
          <w:rFonts w:hint="eastAsia" w:ascii="方正小标宋简体" w:hAnsi="方正小标宋简体" w:eastAsia="方正小标宋简体" w:cs="方正小标宋简体"/>
          <w:b w:val="0"/>
          <w:sz w:val="44"/>
          <w:szCs w:val="44"/>
        </w:rPr>
      </w:pPr>
      <w:r>
        <w:rPr>
          <w:rFonts w:hint="eastAsia" w:ascii="方正小标宋简体" w:hAnsi="方正小标宋简体" w:eastAsia="方正小标宋简体" w:cs="方正小标宋简体"/>
          <w:b w:val="0"/>
          <w:sz w:val="44"/>
          <w:szCs w:val="44"/>
        </w:rPr>
        <w:t>吉林省建筑市场管理条例</w:t>
      </w:r>
    </w:p>
    <w:p>
      <w:pPr>
        <w:keepNext w:val="0"/>
        <w:keepLines w:val="0"/>
        <w:pageBreakBefore w:val="0"/>
        <w:widowControl w:val="0"/>
        <w:kinsoku/>
        <w:wordWrap/>
        <w:overflowPunct/>
        <w:topLinePunct w:val="0"/>
        <w:autoSpaceDE/>
        <w:autoSpaceDN/>
        <w:bidi w:val="0"/>
        <w:adjustRightInd/>
        <w:snapToGrid/>
        <w:spacing w:before="313" w:beforeLines="100" w:line="400" w:lineRule="exact"/>
        <w:jc w:val="center"/>
        <w:textAlignment w:val="auto"/>
        <w:rPr>
          <w:rFonts w:hint="eastAsia" w:ascii="方正小标宋简体" w:hAnsi="方正小标宋简体" w:eastAsia="方正小标宋简体" w:cs="方正小标宋简体"/>
          <w:b w:val="0"/>
          <w:sz w:val="44"/>
          <w:szCs w:val="44"/>
        </w:rPr>
      </w:pPr>
      <w:r>
        <w:rPr>
          <w:rFonts w:hint="eastAsia" w:ascii="方正小标宋简体" w:hAnsi="方正小标宋简体" w:eastAsia="方正小标宋简体" w:cs="方正小标宋简体"/>
          <w:b w:val="0"/>
          <w:sz w:val="44"/>
          <w:szCs w:val="44"/>
        </w:rPr>
        <w:t>（修订草案</w:t>
      </w:r>
      <w:r>
        <w:rPr>
          <w:rFonts w:hint="eastAsia" w:ascii="方正小标宋简体" w:hAnsi="方正小标宋简体" w:eastAsia="方正小标宋简体" w:cs="方正小标宋简体"/>
          <w:b w:val="0"/>
          <w:sz w:val="44"/>
          <w:szCs w:val="44"/>
          <w:lang w:eastAsia="zh-CN"/>
        </w:rPr>
        <w:t>修改稿</w:t>
      </w:r>
      <w:r>
        <w:rPr>
          <w:rFonts w:hint="eastAsia" w:ascii="方正小标宋简体" w:hAnsi="方正小标宋简体" w:eastAsia="方正小标宋简体" w:cs="方正小标宋简体"/>
          <w:b w:val="0"/>
          <w:sz w:val="44"/>
          <w:szCs w:val="44"/>
        </w:rPr>
        <w:t>）</w:t>
      </w:r>
    </w:p>
    <w:p>
      <w:pPr>
        <w:keepNext w:val="0"/>
        <w:keepLines w:val="0"/>
        <w:pageBreakBefore w:val="0"/>
        <w:widowControl w:val="0"/>
        <w:kinsoku/>
        <w:wordWrap/>
        <w:overflowPunct/>
        <w:topLinePunct w:val="0"/>
        <w:autoSpaceDE/>
        <w:autoSpaceDN/>
        <w:bidi w:val="0"/>
        <w:adjustRightInd/>
        <w:snapToGrid/>
        <w:jc w:val="center"/>
        <w:textAlignment w:val="auto"/>
        <w:rPr>
          <w:rFonts w:hint="eastAsia" w:ascii="楷体" w:hAnsi="楷体" w:eastAsia="楷体" w:cs="楷体"/>
          <w:b w:val="0"/>
          <w:sz w:val="36"/>
          <w:szCs w:val="36"/>
          <w:lang w:val="en-US" w:eastAsia="zh-CN"/>
        </w:rPr>
      </w:pPr>
      <w:r>
        <w:rPr>
          <w:rFonts w:hint="eastAsia" w:ascii="楷体" w:hAnsi="楷体" w:eastAsia="楷体" w:cs="楷体"/>
          <w:b w:val="0"/>
          <w:sz w:val="36"/>
          <w:szCs w:val="36"/>
          <w:lang w:val="en-US" w:eastAsia="zh-CN"/>
        </w:rPr>
        <w:t>（征求意见稿）</w:t>
      </w:r>
      <w:r>
        <w:rPr>
          <w:rFonts w:hint="eastAsia" w:ascii="楷体" w:hAnsi="楷体" w:eastAsia="楷体" w:cs="楷体"/>
          <w:b w:val="0"/>
          <w:sz w:val="36"/>
          <w:szCs w:val="36"/>
          <w:lang w:val="en-US" w:eastAsia="zh-CN"/>
        </w:rPr>
        <w:br w:type="textWrapping"/>
      </w:r>
    </w:p>
    <w:p>
      <w:pPr>
        <w:keepNext w:val="0"/>
        <w:keepLines w:val="0"/>
        <w:widowControl w:val="0"/>
        <w:suppressLineNumbers w:val="0"/>
        <w:autoSpaceDE w:val="0"/>
        <w:autoSpaceDN/>
        <w:spacing w:before="157" w:beforeLines="50" w:beforeAutospacing="0" w:after="157" w:afterLines="50" w:afterAutospacing="0" w:line="560" w:lineRule="exact"/>
        <w:ind w:left="0" w:leftChars="0" w:right="0" w:rightChars="0" w:firstLine="0" w:firstLineChars="0"/>
        <w:jc w:val="center"/>
        <w:rPr>
          <w:rFonts w:hint="eastAsia" w:ascii="黑体" w:hAnsi="宋体" w:eastAsia="黑体" w:cs="黑体"/>
          <w:color w:val="000000"/>
          <w:kern w:val="2"/>
          <w:sz w:val="32"/>
          <w:szCs w:val="32"/>
          <w:lang w:val="en-US" w:eastAsia="zh-CN" w:bidi="ar"/>
        </w:rPr>
      </w:pPr>
      <w:r>
        <w:rPr>
          <w:rFonts w:hint="eastAsia" w:ascii="黑体" w:hAnsi="宋体" w:eastAsia="黑体" w:cs="黑体"/>
          <w:color w:val="000000"/>
          <w:kern w:val="2"/>
          <w:sz w:val="32"/>
          <w:szCs w:val="32"/>
          <w:lang w:val="en-US" w:eastAsia="zh-CN" w:bidi="ar"/>
        </w:rPr>
        <w:t>目  录</w:t>
      </w:r>
    </w:p>
    <w:p>
      <w:pPr>
        <w:keepNext w:val="0"/>
        <w:keepLines w:val="0"/>
        <w:widowControl w:val="0"/>
        <w:suppressLineNumbers w:val="0"/>
        <w:autoSpaceDE w:val="0"/>
        <w:autoSpaceDN/>
        <w:spacing w:before="157" w:beforeLines="50" w:beforeAutospacing="0" w:after="157" w:afterLines="50" w:afterAutospacing="0" w:line="560" w:lineRule="exact"/>
        <w:ind w:right="0" w:rightChars="0" w:firstLine="2240" w:firstLineChars="700"/>
        <w:jc w:val="left"/>
        <w:rPr>
          <w:rFonts w:hint="eastAsia" w:ascii="黑体" w:hAnsi="宋体" w:eastAsia="黑体" w:cs="黑体"/>
          <w:color w:val="000000"/>
          <w:kern w:val="2"/>
          <w:sz w:val="32"/>
          <w:szCs w:val="32"/>
          <w:lang w:val="en-US" w:eastAsia="zh-CN" w:bidi="ar"/>
        </w:rPr>
      </w:pPr>
      <w:r>
        <w:rPr>
          <w:rFonts w:hint="eastAsia" w:ascii="黑体" w:hAnsi="宋体" w:eastAsia="黑体" w:cs="黑体"/>
          <w:color w:val="000000"/>
          <w:kern w:val="2"/>
          <w:sz w:val="32"/>
          <w:szCs w:val="32"/>
          <w:lang w:val="en-US" w:eastAsia="zh-CN" w:bidi="ar"/>
        </w:rPr>
        <w:t>第一章 总则</w:t>
      </w:r>
    </w:p>
    <w:p>
      <w:pPr>
        <w:keepNext w:val="0"/>
        <w:keepLines w:val="0"/>
        <w:widowControl w:val="0"/>
        <w:suppressLineNumbers w:val="0"/>
        <w:autoSpaceDE w:val="0"/>
        <w:autoSpaceDN/>
        <w:spacing w:before="157" w:beforeLines="50" w:beforeAutospacing="0" w:after="157" w:afterLines="50" w:afterAutospacing="0" w:line="560" w:lineRule="exact"/>
        <w:ind w:right="0" w:rightChars="0" w:firstLine="2240" w:firstLineChars="700"/>
        <w:jc w:val="left"/>
        <w:rPr>
          <w:rFonts w:hint="eastAsia" w:ascii="黑体" w:hAnsi="宋体" w:eastAsia="黑体" w:cs="黑体"/>
          <w:color w:val="000000"/>
          <w:kern w:val="2"/>
          <w:sz w:val="32"/>
          <w:szCs w:val="32"/>
          <w:lang w:val="en-US" w:eastAsia="zh-CN" w:bidi="ar"/>
        </w:rPr>
      </w:pPr>
      <w:r>
        <w:rPr>
          <w:rFonts w:hint="eastAsia" w:ascii="黑体" w:hAnsi="宋体" w:eastAsia="黑体" w:cs="黑体"/>
          <w:color w:val="000000"/>
          <w:kern w:val="2"/>
          <w:sz w:val="32"/>
          <w:szCs w:val="32"/>
          <w:lang w:val="en-US" w:eastAsia="zh-CN" w:bidi="ar"/>
        </w:rPr>
        <w:t>第二章 资质管理与发包承包</w:t>
      </w:r>
    </w:p>
    <w:p>
      <w:pPr>
        <w:keepNext w:val="0"/>
        <w:keepLines w:val="0"/>
        <w:widowControl w:val="0"/>
        <w:suppressLineNumbers w:val="0"/>
        <w:autoSpaceDE w:val="0"/>
        <w:autoSpaceDN/>
        <w:spacing w:before="157" w:beforeLines="50" w:beforeAutospacing="0" w:after="157" w:afterLines="50" w:afterAutospacing="0" w:line="560" w:lineRule="exact"/>
        <w:ind w:right="0" w:rightChars="0" w:firstLine="2240" w:firstLineChars="700"/>
        <w:jc w:val="left"/>
        <w:rPr>
          <w:rFonts w:hint="eastAsia" w:ascii="黑体" w:hAnsi="宋体" w:eastAsia="黑体" w:cs="黑体"/>
          <w:color w:val="000000"/>
          <w:kern w:val="2"/>
          <w:sz w:val="32"/>
          <w:szCs w:val="32"/>
          <w:lang w:val="en-US" w:eastAsia="zh-CN" w:bidi="ar"/>
        </w:rPr>
      </w:pPr>
      <w:r>
        <w:rPr>
          <w:rFonts w:hint="eastAsia" w:ascii="黑体" w:hAnsi="宋体" w:eastAsia="黑体" w:cs="黑体"/>
          <w:color w:val="000000"/>
          <w:kern w:val="2"/>
          <w:sz w:val="32"/>
          <w:szCs w:val="32"/>
          <w:lang w:val="en-US" w:eastAsia="zh-CN" w:bidi="ar"/>
        </w:rPr>
        <w:t>第三章 工程质量与安全生产</w:t>
      </w:r>
    </w:p>
    <w:p>
      <w:pPr>
        <w:keepNext w:val="0"/>
        <w:keepLines w:val="0"/>
        <w:widowControl w:val="0"/>
        <w:suppressLineNumbers w:val="0"/>
        <w:autoSpaceDE w:val="0"/>
        <w:autoSpaceDN/>
        <w:spacing w:before="157" w:beforeLines="50" w:beforeAutospacing="0" w:after="157" w:afterLines="50" w:afterAutospacing="0" w:line="560" w:lineRule="exact"/>
        <w:ind w:left="0" w:leftChars="0" w:right="0" w:rightChars="0" w:firstLine="2240" w:firstLineChars="700"/>
        <w:jc w:val="left"/>
        <w:rPr>
          <w:rFonts w:hint="eastAsia" w:ascii="黑体" w:hAnsi="宋体" w:eastAsia="黑体" w:cs="黑体"/>
          <w:color w:val="000000"/>
          <w:kern w:val="2"/>
          <w:sz w:val="32"/>
          <w:szCs w:val="32"/>
          <w:lang w:val="en-US" w:eastAsia="zh-CN" w:bidi="ar"/>
        </w:rPr>
      </w:pPr>
      <w:r>
        <w:rPr>
          <w:rFonts w:hint="eastAsia" w:ascii="黑体" w:hAnsi="宋体" w:eastAsia="黑体" w:cs="黑体"/>
          <w:color w:val="000000"/>
          <w:kern w:val="2"/>
          <w:sz w:val="32"/>
          <w:szCs w:val="32"/>
          <w:lang w:val="en-US" w:eastAsia="zh-CN" w:bidi="ar"/>
        </w:rPr>
        <w:t>第四章 工程服务与竣工结算</w:t>
      </w:r>
    </w:p>
    <w:p>
      <w:pPr>
        <w:keepNext w:val="0"/>
        <w:keepLines w:val="0"/>
        <w:widowControl w:val="0"/>
        <w:suppressLineNumbers w:val="0"/>
        <w:autoSpaceDE w:val="0"/>
        <w:autoSpaceDN/>
        <w:spacing w:before="157" w:beforeLines="50" w:beforeAutospacing="0" w:after="157" w:afterLines="50" w:afterAutospacing="0" w:line="560" w:lineRule="exact"/>
        <w:ind w:left="0" w:leftChars="0" w:right="0" w:rightChars="0" w:firstLine="2240" w:firstLineChars="700"/>
        <w:jc w:val="left"/>
        <w:rPr>
          <w:rFonts w:hint="eastAsia" w:ascii="黑体" w:hAnsi="宋体" w:eastAsia="黑体" w:cs="黑体"/>
          <w:color w:val="000000"/>
          <w:kern w:val="2"/>
          <w:sz w:val="32"/>
          <w:szCs w:val="32"/>
          <w:lang w:val="en-US" w:eastAsia="zh-CN" w:bidi="ar"/>
        </w:rPr>
      </w:pPr>
      <w:r>
        <w:rPr>
          <w:rFonts w:hint="eastAsia" w:ascii="黑体" w:hAnsi="宋体" w:eastAsia="黑体" w:cs="黑体"/>
          <w:color w:val="000000"/>
          <w:kern w:val="2"/>
          <w:sz w:val="32"/>
          <w:szCs w:val="32"/>
          <w:lang w:val="en-US" w:eastAsia="zh-CN" w:bidi="ar"/>
        </w:rPr>
        <w:t>第五章 监督管理</w:t>
      </w:r>
    </w:p>
    <w:p>
      <w:pPr>
        <w:keepNext w:val="0"/>
        <w:keepLines w:val="0"/>
        <w:widowControl w:val="0"/>
        <w:suppressLineNumbers w:val="0"/>
        <w:autoSpaceDE w:val="0"/>
        <w:autoSpaceDN/>
        <w:spacing w:before="157" w:beforeLines="50" w:beforeAutospacing="0" w:after="157" w:afterLines="50" w:afterAutospacing="0" w:line="560" w:lineRule="exact"/>
        <w:ind w:left="0" w:leftChars="0" w:right="0" w:rightChars="0" w:firstLine="2240" w:firstLineChars="700"/>
        <w:jc w:val="left"/>
        <w:rPr>
          <w:rFonts w:hint="eastAsia" w:ascii="黑体" w:hAnsi="宋体" w:eastAsia="黑体" w:cs="黑体"/>
          <w:color w:val="000000"/>
          <w:kern w:val="2"/>
          <w:sz w:val="32"/>
          <w:szCs w:val="32"/>
          <w:lang w:val="en-US" w:eastAsia="zh-CN" w:bidi="ar"/>
        </w:rPr>
      </w:pPr>
      <w:r>
        <w:rPr>
          <w:rFonts w:hint="eastAsia" w:ascii="黑体" w:hAnsi="宋体" w:eastAsia="黑体" w:cs="黑体"/>
          <w:color w:val="000000"/>
          <w:kern w:val="2"/>
          <w:sz w:val="32"/>
          <w:szCs w:val="32"/>
          <w:lang w:val="en-US" w:eastAsia="zh-CN" w:bidi="ar"/>
        </w:rPr>
        <w:t>第六章 法律责任</w:t>
      </w:r>
    </w:p>
    <w:p>
      <w:pPr>
        <w:keepNext w:val="0"/>
        <w:keepLines w:val="0"/>
        <w:widowControl w:val="0"/>
        <w:suppressLineNumbers w:val="0"/>
        <w:autoSpaceDE w:val="0"/>
        <w:autoSpaceDN/>
        <w:spacing w:before="157" w:beforeLines="50" w:beforeAutospacing="0" w:after="157" w:afterLines="50" w:afterAutospacing="0" w:line="560" w:lineRule="exact"/>
        <w:ind w:left="0" w:leftChars="0" w:right="0" w:rightChars="0" w:firstLine="2240" w:firstLineChars="700"/>
        <w:jc w:val="left"/>
        <w:rPr>
          <w:rFonts w:hint="eastAsia" w:ascii="黑体" w:hAnsi="黑体" w:eastAsia="黑体" w:cs="黑体"/>
          <w:sz w:val="32"/>
          <w:szCs w:val="32"/>
        </w:rPr>
      </w:pPr>
      <w:r>
        <w:rPr>
          <w:rFonts w:hint="eastAsia" w:ascii="黑体" w:hAnsi="宋体" w:eastAsia="黑体" w:cs="黑体"/>
          <w:color w:val="000000"/>
          <w:kern w:val="2"/>
          <w:sz w:val="32"/>
          <w:szCs w:val="32"/>
          <w:lang w:val="en-US" w:eastAsia="zh-CN" w:bidi="ar"/>
        </w:rPr>
        <w:t>第七章 附则</w:t>
      </w:r>
    </w:p>
    <w:p>
      <w:pPr>
        <w:keepNext w:val="0"/>
        <w:keepLines w:val="0"/>
        <w:pageBreakBefore w:val="0"/>
        <w:widowControl w:val="0"/>
        <w:kinsoku/>
        <w:wordWrap/>
        <w:overflowPunct/>
        <w:topLinePunct w:val="0"/>
        <w:autoSpaceDE/>
        <w:autoSpaceDN/>
        <w:bidi w:val="0"/>
        <w:adjustRightInd/>
        <w:snapToGrid/>
        <w:spacing w:before="157" w:beforeLines="50" w:after="157" w:afterLines="50"/>
        <w:jc w:val="center"/>
        <w:textAlignment w:val="auto"/>
        <w:rPr>
          <w:rFonts w:hint="eastAsia" w:ascii="黑体" w:hAnsi="黑体" w:eastAsia="黑体" w:cs="黑体"/>
          <w:sz w:val="32"/>
          <w:szCs w:val="32"/>
        </w:rPr>
      </w:pPr>
    </w:p>
    <w:p>
      <w:pPr>
        <w:keepNext w:val="0"/>
        <w:keepLines w:val="0"/>
        <w:pageBreakBefore w:val="0"/>
        <w:widowControl w:val="0"/>
        <w:kinsoku/>
        <w:wordWrap/>
        <w:overflowPunct/>
        <w:topLinePunct w:val="0"/>
        <w:autoSpaceDE/>
        <w:autoSpaceDN/>
        <w:bidi w:val="0"/>
        <w:adjustRightInd/>
        <w:snapToGrid/>
        <w:spacing w:before="157" w:beforeLines="50" w:after="157" w:afterLines="50"/>
        <w:jc w:val="center"/>
        <w:textAlignment w:val="auto"/>
        <w:rPr>
          <w:rFonts w:hint="eastAsia" w:ascii="黑体" w:hAnsi="黑体" w:eastAsia="黑体" w:cs="黑体"/>
          <w:sz w:val="32"/>
          <w:szCs w:val="32"/>
        </w:rPr>
      </w:pPr>
      <w:r>
        <w:rPr>
          <w:rFonts w:hint="eastAsia" w:ascii="黑体" w:hAnsi="黑体" w:eastAsia="黑体" w:cs="黑体"/>
          <w:sz w:val="32"/>
          <w:szCs w:val="32"/>
        </w:rPr>
        <w:t>第一章 总</w:t>
      </w:r>
      <w:r>
        <w:rPr>
          <w:rFonts w:hint="eastAsia" w:ascii="黑体" w:hAnsi="黑体" w:eastAsia="黑体" w:cs="黑体"/>
          <w:sz w:val="32"/>
          <w:szCs w:val="32"/>
          <w:lang w:val="en-US" w:eastAsia="zh-CN"/>
        </w:rPr>
        <w:t xml:space="preserve">  </w:t>
      </w:r>
      <w:r>
        <w:rPr>
          <w:rFonts w:hint="eastAsia" w:ascii="黑体" w:hAnsi="黑体" w:eastAsia="黑体" w:cs="黑体"/>
          <w:sz w:val="32"/>
          <w:szCs w:val="32"/>
        </w:rPr>
        <w:t>则</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rPr>
      </w:pP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黑体" w:hAnsi="黑体" w:eastAsia="黑体" w:cs="黑体"/>
          <w:sz w:val="32"/>
          <w:szCs w:val="32"/>
        </w:rPr>
        <w:t>第一条</w:t>
      </w:r>
      <w:r>
        <w:rPr>
          <w:rFonts w:hint="eastAsia" w:ascii="仿宋_GB2312" w:hAnsi="仿宋_GB2312" w:eastAsia="仿宋_GB2312" w:cs="仿宋_GB2312"/>
          <w:sz w:val="32"/>
          <w:szCs w:val="32"/>
        </w:rPr>
        <w:t xml:space="preserve"> 为了加强建筑市场管理，维护建筑市场秩序，保证建筑工程质量和安全，保护建筑市场主体合法权益，促进建筑业</w:t>
      </w:r>
      <w:r>
        <w:rPr>
          <w:rFonts w:hint="eastAsia" w:ascii="仿宋_GB2312" w:hAnsi="仿宋_GB2312" w:eastAsia="仿宋_GB2312" w:cs="仿宋_GB2312"/>
          <w:sz w:val="32"/>
          <w:szCs w:val="32"/>
          <w:bdr w:val="single" w:sz="4" w:space="0"/>
        </w:rPr>
        <w:t>健康</w:t>
      </w:r>
      <w:r>
        <w:rPr>
          <w:rFonts w:hint="eastAsia" w:ascii="黑体" w:hAnsi="黑体" w:eastAsia="黑体" w:cs="黑体"/>
          <w:sz w:val="32"/>
          <w:szCs w:val="32"/>
          <w:lang w:eastAsia="zh-CN"/>
        </w:rPr>
        <w:t>高质量</w:t>
      </w:r>
      <w:r>
        <w:rPr>
          <w:rFonts w:hint="eastAsia" w:ascii="仿宋_GB2312" w:hAnsi="仿宋_GB2312" w:eastAsia="仿宋_GB2312" w:cs="仿宋_GB2312"/>
          <w:sz w:val="32"/>
          <w:szCs w:val="32"/>
        </w:rPr>
        <w:t>发展，根据</w:t>
      </w:r>
      <w:r>
        <w:rPr>
          <w:rFonts w:hint="eastAsia" w:ascii="仿宋_GB2312" w:hAnsi="仿宋_GB2312" w:eastAsia="仿宋_GB2312" w:cs="仿宋_GB2312"/>
          <w:sz w:val="32"/>
          <w:szCs w:val="32"/>
          <w:bdr w:val="single" w:sz="4" w:space="0"/>
        </w:rPr>
        <w:t>《中华人民共和国建筑法》《中华人民共和国招标投标法》《建设工程质量管理条例》《建设工程安全生产管理条例》等</w:t>
      </w:r>
      <w:r>
        <w:rPr>
          <w:rFonts w:hint="eastAsia" w:ascii="仿宋_GB2312" w:hAnsi="仿宋_GB2312" w:eastAsia="仿宋_GB2312" w:cs="仿宋_GB2312"/>
          <w:sz w:val="32"/>
          <w:szCs w:val="32"/>
        </w:rPr>
        <w:t>有关法律、行政法规，结合本省实际，制定本条例。</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黑体" w:hAnsi="黑体" w:eastAsia="黑体" w:cs="黑体"/>
          <w:sz w:val="32"/>
          <w:szCs w:val="32"/>
        </w:rPr>
        <w:t xml:space="preserve">第二条 </w:t>
      </w:r>
      <w:r>
        <w:rPr>
          <w:rFonts w:hint="eastAsia" w:ascii="仿宋_GB2312" w:hAnsi="仿宋_GB2312" w:eastAsia="仿宋_GB2312" w:cs="仿宋_GB2312"/>
          <w:sz w:val="32"/>
          <w:szCs w:val="32"/>
        </w:rPr>
        <w:t>在本省行政区域内新建、扩建和改建房屋建筑工程和市政基础设施工程（以下统称房屋市政工程）相关建筑市场活动及其监督管理，适用本条例。</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本条例所称房屋建筑工程，是指各类房屋建筑及其附属设施和与其配套的线路、管道、设备安装工程以及建筑装饰装修工程。</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本条例所称市政基础设施工程，是指城市道路、桥梁、轨道交通、供水、排水、供气、供暖、环卫、污水处理、垃圾处理、防涝、地下公共设施及其附属设施的土建、管道、设备安装工程。</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黑体" w:hAnsi="黑体" w:eastAsia="黑体" w:cs="黑体"/>
          <w:sz w:val="32"/>
          <w:szCs w:val="32"/>
        </w:rPr>
        <w:t xml:space="preserve">第三条 </w:t>
      </w:r>
      <w:r>
        <w:rPr>
          <w:rFonts w:hint="eastAsia" w:ascii="仿宋_GB2312" w:hAnsi="仿宋_GB2312" w:eastAsia="仿宋_GB2312" w:cs="仿宋_GB2312"/>
          <w:sz w:val="32"/>
          <w:szCs w:val="32"/>
        </w:rPr>
        <w:t>建筑市场活动应当遵循合法经营、公平竞争、诚实</w:t>
      </w:r>
      <w:r>
        <w:rPr>
          <w:rFonts w:hint="eastAsia" w:ascii="黑体" w:hAnsi="黑体" w:eastAsia="黑体" w:cs="黑体"/>
          <w:sz w:val="32"/>
          <w:szCs w:val="32"/>
        </w:rPr>
        <w:t>守</w:t>
      </w:r>
      <w:r>
        <w:rPr>
          <w:rFonts w:hint="eastAsia" w:ascii="仿宋_GB2312" w:hAnsi="仿宋_GB2312" w:eastAsia="仿宋_GB2312" w:cs="仿宋_GB2312"/>
          <w:sz w:val="32"/>
          <w:szCs w:val="32"/>
        </w:rPr>
        <w:t>信</w:t>
      </w:r>
      <w:r>
        <w:rPr>
          <w:rFonts w:hint="eastAsia" w:ascii="仿宋_GB2312" w:hAnsi="仿宋_GB2312" w:eastAsia="仿宋_GB2312" w:cs="仿宋_GB2312"/>
          <w:sz w:val="32"/>
          <w:szCs w:val="32"/>
          <w:bdr w:val="single" w:sz="4" w:space="0"/>
        </w:rPr>
        <w:t>用</w:t>
      </w:r>
      <w:r>
        <w:rPr>
          <w:rFonts w:hint="eastAsia" w:ascii="仿宋_GB2312" w:hAnsi="仿宋_GB2312" w:eastAsia="仿宋_GB2312" w:cs="仿宋_GB2312"/>
          <w:sz w:val="32"/>
          <w:szCs w:val="32"/>
        </w:rPr>
        <w:t>的原则。</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建筑市场监督管理应当坚持统一</w:t>
      </w:r>
      <w:r>
        <w:rPr>
          <w:rFonts w:hint="eastAsia" w:ascii="仿宋_GB2312" w:hAnsi="仿宋_GB2312" w:eastAsia="仿宋_GB2312" w:cs="仿宋_GB2312"/>
          <w:sz w:val="32"/>
          <w:szCs w:val="32"/>
          <w:bdr w:val="single" w:sz="4" w:space="0"/>
        </w:rPr>
        <w:t>、</w:t>
      </w:r>
      <w:r>
        <w:rPr>
          <w:rFonts w:hint="eastAsia" w:ascii="仿宋_GB2312" w:hAnsi="仿宋_GB2312" w:eastAsia="仿宋_GB2312" w:cs="仿宋_GB2312"/>
          <w:sz w:val="32"/>
          <w:szCs w:val="32"/>
        </w:rPr>
        <w:t>开放、公平</w:t>
      </w:r>
      <w:r>
        <w:rPr>
          <w:rFonts w:hint="eastAsia" w:ascii="仿宋_GB2312" w:hAnsi="仿宋_GB2312" w:eastAsia="仿宋_GB2312" w:cs="仿宋_GB2312"/>
          <w:sz w:val="32"/>
          <w:szCs w:val="32"/>
          <w:bdr w:val="single" w:sz="4" w:space="0"/>
        </w:rPr>
        <w:t>、</w:t>
      </w:r>
      <w:r>
        <w:rPr>
          <w:rFonts w:hint="eastAsia" w:ascii="仿宋_GB2312" w:hAnsi="仿宋_GB2312" w:eastAsia="仿宋_GB2312" w:cs="仿宋_GB2312"/>
          <w:sz w:val="32"/>
          <w:szCs w:val="32"/>
        </w:rPr>
        <w:t>公正的原则。</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黑体" w:hAnsi="黑体" w:eastAsia="黑体" w:cs="黑体"/>
          <w:sz w:val="32"/>
          <w:szCs w:val="32"/>
        </w:rPr>
        <w:t xml:space="preserve">第四条 </w:t>
      </w:r>
      <w:r>
        <w:rPr>
          <w:rFonts w:hint="eastAsia" w:ascii="仿宋_GB2312" w:hAnsi="仿宋_GB2312" w:eastAsia="仿宋_GB2312" w:cs="仿宋_GB2312"/>
          <w:sz w:val="32"/>
          <w:szCs w:val="32"/>
        </w:rPr>
        <w:t>县级以上人民政府住房和城乡建设主管部门对本行政区域内房屋市政工程建筑市场活动实施监督管理。住房和城乡建设主管部门可以</w:t>
      </w:r>
      <w:r>
        <w:rPr>
          <w:rFonts w:hint="eastAsia" w:ascii="黑体" w:hAnsi="黑体" w:eastAsia="黑体" w:cs="黑体"/>
          <w:sz w:val="32"/>
          <w:szCs w:val="32"/>
          <w:lang w:eastAsia="zh-CN"/>
        </w:rPr>
        <w:t>依法</w:t>
      </w:r>
      <w:r>
        <w:rPr>
          <w:rFonts w:hint="eastAsia" w:ascii="仿宋_GB2312" w:hAnsi="仿宋_GB2312" w:eastAsia="仿宋_GB2312" w:cs="仿宋_GB2312"/>
          <w:sz w:val="32"/>
          <w:szCs w:val="32"/>
        </w:rPr>
        <w:t>委托</w:t>
      </w:r>
      <w:r>
        <w:rPr>
          <w:rFonts w:hint="eastAsia" w:ascii="黑体" w:hAnsi="黑体" w:eastAsia="黑体" w:cs="黑体"/>
          <w:sz w:val="32"/>
          <w:szCs w:val="32"/>
          <w:lang w:eastAsia="zh-CN"/>
        </w:rPr>
        <w:t>其所属的</w:t>
      </w:r>
      <w:r>
        <w:rPr>
          <w:rFonts w:hint="eastAsia" w:ascii="仿宋_GB2312" w:hAnsi="仿宋_GB2312" w:eastAsia="仿宋_GB2312" w:cs="仿宋_GB2312"/>
          <w:sz w:val="32"/>
          <w:szCs w:val="32"/>
          <w:bdr w:val="single" w:sz="4" w:space="0"/>
        </w:rPr>
        <w:t>有关机构具体实施对</w:t>
      </w:r>
      <w:r>
        <w:rPr>
          <w:rFonts w:hint="eastAsia" w:ascii="仿宋_GB2312" w:hAnsi="仿宋_GB2312" w:eastAsia="仿宋_GB2312" w:cs="仿宋_GB2312"/>
          <w:sz w:val="32"/>
          <w:szCs w:val="32"/>
        </w:rPr>
        <w:t>工程质量、安全生产、勘察设计、招标投标、工程抗震、造价、施工、散装水泥、墙体改革、城建档案等</w:t>
      </w:r>
      <w:r>
        <w:rPr>
          <w:rFonts w:hint="eastAsia" w:ascii="黑体" w:hAnsi="黑体" w:eastAsia="黑体" w:cs="黑体"/>
          <w:sz w:val="32"/>
          <w:szCs w:val="32"/>
          <w:lang w:eastAsia="zh-CN"/>
        </w:rPr>
        <w:t>管理机构具体实施</w:t>
      </w:r>
      <w:r>
        <w:rPr>
          <w:rFonts w:hint="eastAsia" w:ascii="仿宋_GB2312" w:hAnsi="仿宋_GB2312" w:eastAsia="仿宋_GB2312" w:cs="仿宋_GB2312"/>
          <w:sz w:val="32"/>
          <w:szCs w:val="32"/>
          <w:bdr w:val="single" w:sz="4" w:space="0"/>
        </w:rPr>
        <w:t>事项的</w:t>
      </w:r>
      <w:r>
        <w:rPr>
          <w:rFonts w:hint="eastAsia" w:ascii="仿宋_GB2312" w:hAnsi="仿宋_GB2312" w:eastAsia="仿宋_GB2312" w:cs="仿宋_GB2312"/>
          <w:sz w:val="32"/>
          <w:szCs w:val="32"/>
        </w:rPr>
        <w:t>监督管理工作。</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县级以上人民政府其他有关部门在其职责范围内做好建筑市场相关的管理工作。</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黑体" w:hAnsi="黑体" w:eastAsia="黑体" w:cs="黑体"/>
          <w:sz w:val="32"/>
          <w:szCs w:val="32"/>
        </w:rPr>
        <w:t xml:space="preserve">第五条 </w:t>
      </w:r>
      <w:r>
        <w:rPr>
          <w:rFonts w:hint="eastAsia" w:ascii="仿宋_GB2312" w:hAnsi="仿宋_GB2312" w:eastAsia="仿宋_GB2312" w:cs="仿宋_GB2312"/>
          <w:sz w:val="32"/>
          <w:szCs w:val="32"/>
        </w:rPr>
        <w:t>县级以上人民政府及其有关部门应当制定激励政策，培育建筑市场，</w:t>
      </w:r>
      <w:r>
        <w:rPr>
          <w:rFonts w:hint="eastAsia" w:ascii="仿宋_GB2312" w:hAnsi="仿宋_GB2312" w:eastAsia="仿宋_GB2312" w:cs="仿宋_GB2312"/>
          <w:sz w:val="32"/>
          <w:szCs w:val="32"/>
          <w:bdr w:val="single" w:sz="4" w:space="0"/>
        </w:rPr>
        <w:t>组织</w:t>
      </w:r>
      <w:r>
        <w:rPr>
          <w:rFonts w:hint="eastAsia" w:ascii="黑体" w:hAnsi="黑体" w:eastAsia="黑体" w:cs="黑体"/>
          <w:sz w:val="32"/>
          <w:szCs w:val="32"/>
          <w:lang w:eastAsia="zh-CN"/>
        </w:rPr>
        <w:t>规范</w:t>
      </w:r>
      <w:r>
        <w:rPr>
          <w:rFonts w:hint="eastAsia" w:ascii="仿宋_GB2312" w:hAnsi="仿宋_GB2312" w:eastAsia="仿宋_GB2312" w:cs="仿宋_GB2312"/>
          <w:sz w:val="32"/>
          <w:szCs w:val="32"/>
        </w:rPr>
        <w:t>评先创优活动，鼓励和支持新技术、新工艺、新材料、新设备的研发应用，提倡采用现代化管理方式，推动建筑工业化、数字化、智能化升级，推进建筑节能</w:t>
      </w:r>
      <w:r>
        <w:rPr>
          <w:rFonts w:hint="eastAsia" w:ascii="仿宋_GB2312" w:hAnsi="仿宋_GB2312" w:eastAsia="仿宋_GB2312" w:cs="仿宋_GB2312"/>
          <w:sz w:val="32"/>
          <w:szCs w:val="32"/>
          <w:bdr w:val="single" w:sz="4" w:space="0"/>
        </w:rPr>
        <w:t>和</w:t>
      </w:r>
      <w:r>
        <w:rPr>
          <w:rFonts w:hint="eastAsia" w:ascii="黑体" w:hAnsi="黑体" w:eastAsia="黑体" w:cs="黑体"/>
          <w:sz w:val="32"/>
          <w:szCs w:val="32"/>
          <w:lang w:eastAsia="zh-CN"/>
        </w:rPr>
        <w:t>、</w:t>
      </w:r>
      <w:r>
        <w:rPr>
          <w:rFonts w:hint="eastAsia" w:ascii="仿宋_GB2312" w:hAnsi="仿宋_GB2312" w:eastAsia="仿宋_GB2312" w:cs="仿宋_GB2312"/>
          <w:sz w:val="32"/>
          <w:szCs w:val="32"/>
        </w:rPr>
        <w:t>科技进步</w:t>
      </w:r>
      <w:r>
        <w:rPr>
          <w:rFonts w:hint="eastAsia" w:ascii="黑体" w:hAnsi="黑体" w:eastAsia="黑体" w:cs="黑体"/>
          <w:sz w:val="32"/>
          <w:szCs w:val="32"/>
          <w:lang w:eastAsia="zh-CN"/>
        </w:rPr>
        <w:t>、</w:t>
      </w:r>
      <w:r>
        <w:rPr>
          <w:rFonts w:hint="eastAsia" w:ascii="黑体" w:hAnsi="黑体" w:eastAsia="黑体" w:cs="黑体"/>
          <w:sz w:val="32"/>
          <w:szCs w:val="32"/>
        </w:rPr>
        <w:t>节本增效</w:t>
      </w:r>
      <w:r>
        <w:rPr>
          <w:rFonts w:hint="eastAsia" w:ascii="仿宋_GB2312" w:hAnsi="仿宋_GB2312" w:eastAsia="仿宋_GB2312" w:cs="仿宋_GB2312"/>
          <w:sz w:val="32"/>
          <w:szCs w:val="32"/>
        </w:rPr>
        <w:t>，促进建筑业低碳、绿色、可持续健康发展。</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黑体" w:hAnsi="黑体" w:eastAsia="黑体" w:cs="黑体"/>
          <w:sz w:val="32"/>
          <w:szCs w:val="32"/>
        </w:rPr>
        <w:t xml:space="preserve">第六条 </w:t>
      </w:r>
      <w:r>
        <w:rPr>
          <w:rFonts w:hint="eastAsia" w:ascii="仿宋_GB2312" w:hAnsi="仿宋_GB2312" w:eastAsia="仿宋_GB2312" w:cs="仿宋_GB2312"/>
          <w:sz w:val="32"/>
          <w:szCs w:val="32"/>
        </w:rPr>
        <w:t>建筑市场相关行业协会应当加强行业自律，引导行业健康发展，督促会员依法从事建筑市场活动。</w:t>
      </w:r>
    </w:p>
    <w:p>
      <w:pPr>
        <w:keepNext w:val="0"/>
        <w:keepLines w:val="0"/>
        <w:pageBreakBefore w:val="0"/>
        <w:widowControl w:val="0"/>
        <w:kinsoku/>
        <w:wordWrap/>
        <w:overflowPunct/>
        <w:topLinePunct w:val="0"/>
        <w:autoSpaceDE/>
        <w:autoSpaceDN/>
        <w:bidi w:val="0"/>
        <w:adjustRightInd/>
        <w:snapToGrid/>
        <w:spacing w:before="157" w:beforeLines="50" w:after="157" w:afterLines="50"/>
        <w:jc w:val="center"/>
        <w:textAlignment w:val="auto"/>
        <w:rPr>
          <w:rFonts w:hint="eastAsia" w:ascii="黑体" w:hAnsi="黑体" w:eastAsia="黑体" w:cs="黑体"/>
          <w:sz w:val="32"/>
          <w:szCs w:val="32"/>
        </w:rPr>
      </w:pPr>
    </w:p>
    <w:p>
      <w:pPr>
        <w:keepNext w:val="0"/>
        <w:keepLines w:val="0"/>
        <w:pageBreakBefore w:val="0"/>
        <w:widowControl w:val="0"/>
        <w:kinsoku/>
        <w:wordWrap/>
        <w:overflowPunct/>
        <w:topLinePunct w:val="0"/>
        <w:autoSpaceDE/>
        <w:autoSpaceDN/>
        <w:bidi w:val="0"/>
        <w:adjustRightInd/>
        <w:snapToGrid/>
        <w:spacing w:before="157" w:beforeLines="50" w:after="157" w:afterLines="50"/>
        <w:jc w:val="center"/>
        <w:textAlignment w:val="auto"/>
        <w:rPr>
          <w:rFonts w:hint="eastAsia" w:ascii="黑体" w:hAnsi="黑体" w:eastAsia="黑体" w:cs="黑体"/>
          <w:sz w:val="32"/>
          <w:szCs w:val="32"/>
        </w:rPr>
      </w:pPr>
      <w:r>
        <w:rPr>
          <w:rFonts w:hint="eastAsia" w:ascii="黑体" w:hAnsi="黑体" w:eastAsia="黑体" w:cs="黑体"/>
          <w:sz w:val="32"/>
          <w:szCs w:val="32"/>
        </w:rPr>
        <w:t>第二章 资质管理与发包承包</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rPr>
      </w:pP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黑体" w:hAnsi="黑体" w:eastAsia="黑体" w:cs="黑体"/>
          <w:sz w:val="32"/>
          <w:szCs w:val="32"/>
        </w:rPr>
        <w:t>第七条</w:t>
      </w:r>
      <w:r>
        <w:rPr>
          <w:rFonts w:hint="eastAsia" w:ascii="仿宋_GB2312" w:hAnsi="仿宋_GB2312" w:eastAsia="仿宋_GB2312" w:cs="仿宋_GB2312"/>
          <w:sz w:val="32"/>
          <w:szCs w:val="32"/>
        </w:rPr>
        <w:t xml:space="preserve"> 勘察、设计、施工、监理、质量检测等单位，应当依法取得相应资质，并在资质许可范围内承接相应业务。</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国家规定实行注册执业制度的建筑活动专业技术人员，经资格考试合格，取得注册执业证书后，方可从事注册范围内的业务。</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施工员、质量员、安全员、材料员、资料员、劳务员、标准员、机械员等施工现场管理人员，应当按照国家和省有关规定经过岗位培训合格后方可上岗作业。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黑体" w:hAnsi="黑体" w:eastAsia="黑体" w:cs="黑体"/>
          <w:sz w:val="32"/>
          <w:szCs w:val="32"/>
        </w:rPr>
        <w:t xml:space="preserve">第八条 </w:t>
      </w:r>
      <w:r>
        <w:rPr>
          <w:rFonts w:hint="eastAsia" w:ascii="仿宋_GB2312" w:hAnsi="仿宋_GB2312" w:eastAsia="仿宋_GB2312" w:cs="仿宋_GB2312"/>
          <w:sz w:val="32"/>
          <w:szCs w:val="32"/>
        </w:rPr>
        <w:t>在本省从事建筑市场活动的</w:t>
      </w:r>
      <w:r>
        <w:rPr>
          <w:rFonts w:hint="eastAsia" w:ascii="仿宋_GB2312" w:hAnsi="仿宋_GB2312" w:eastAsia="仿宋_GB2312" w:cs="仿宋_GB2312"/>
          <w:sz w:val="32"/>
          <w:szCs w:val="32"/>
          <w:bdr w:val="single" w:sz="4" w:space="0"/>
        </w:rPr>
        <w:t>建筑</w:t>
      </w:r>
      <w:r>
        <w:rPr>
          <w:rFonts w:hint="eastAsia" w:ascii="仿宋_GB2312" w:hAnsi="仿宋_GB2312" w:eastAsia="仿宋_GB2312" w:cs="仿宋_GB2312"/>
          <w:sz w:val="32"/>
          <w:szCs w:val="32"/>
        </w:rPr>
        <w:t>市场主体，应当按照国家和本省有关规定，在省建筑市场监管公共服务平台登记单位、从业人员、工程项目等相关信息。</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省建筑市场监管公共服务平台应当具备实时更新市场主体信息、共享监管数据、提供公众查询服务等功能，并确保信息的准确性和完整性。</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黑体" w:hAnsi="黑体" w:eastAsia="黑体" w:cs="黑体"/>
          <w:sz w:val="32"/>
          <w:szCs w:val="32"/>
        </w:rPr>
        <w:t xml:space="preserve">第九条 </w:t>
      </w:r>
      <w:r>
        <w:rPr>
          <w:rFonts w:hint="eastAsia" w:ascii="仿宋_GB2312" w:hAnsi="仿宋_GB2312" w:eastAsia="仿宋_GB2312" w:cs="仿宋_GB2312"/>
          <w:sz w:val="32"/>
          <w:szCs w:val="32"/>
        </w:rPr>
        <w:t>房屋市政工程的招标发包或者直接发包应当依法进行。</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依法必须进行招标的房屋市政工程不得以化整为零或者其他任何形式规避招标。</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具备勘察、设计或者施工资质的单位自行投资工程项目的，可以承担其资质许可范围内的业务。</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single" w:sz="4" w:space="0"/>
        </w:rPr>
        <w:t>在建工程追加附属小型工程或者房屋建筑主体加层工程，原承包单位对追加后的整体工程具备承包能力的，可以将追加工程的工程总承包或者勘察、设计、施工直接发包给原承包单位。</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黑体" w:hAnsi="黑体" w:eastAsia="黑体" w:cs="黑体"/>
          <w:sz w:val="32"/>
          <w:szCs w:val="32"/>
        </w:rPr>
        <w:t xml:space="preserve">第十条 </w:t>
      </w:r>
      <w:r>
        <w:rPr>
          <w:rFonts w:hint="eastAsia" w:ascii="仿宋_GB2312" w:hAnsi="仿宋_GB2312" w:eastAsia="仿宋_GB2312" w:cs="仿宋_GB2312"/>
          <w:sz w:val="32"/>
          <w:szCs w:val="32"/>
          <w:bdr w:val="single" w:sz="4" w:space="0"/>
        </w:rPr>
        <w:t>房屋市政工程发包单位，不得迫使承包单位以低于成本的价格竞标，不得任意压缩合理工期。</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lang w:eastAsia="zh-CN"/>
        </w:rPr>
      </w:pPr>
      <w:r>
        <w:rPr>
          <w:rFonts w:hint="eastAsia" w:ascii="黑体" w:hAnsi="黑体" w:eastAsia="黑体" w:cs="黑体"/>
          <w:sz w:val="32"/>
          <w:szCs w:val="32"/>
        </w:rPr>
        <w:t>依法必须进行招标的房屋市政工程项目，</w:t>
      </w:r>
      <w:r>
        <w:rPr>
          <w:rFonts w:hint="eastAsia" w:ascii="黑体" w:hAnsi="黑体" w:eastAsia="黑体" w:cs="黑体"/>
          <w:sz w:val="32"/>
          <w:szCs w:val="32"/>
          <w:lang w:eastAsia="zh-CN"/>
        </w:rPr>
        <w:t>应当</w:t>
      </w:r>
      <w:r>
        <w:rPr>
          <w:rFonts w:hint="eastAsia" w:ascii="黑体" w:hAnsi="黑体" w:eastAsia="黑体" w:cs="黑体"/>
          <w:sz w:val="32"/>
          <w:szCs w:val="32"/>
        </w:rPr>
        <w:t>实施招标计划提前发布和招标文件公示制度</w:t>
      </w:r>
      <w:r>
        <w:rPr>
          <w:rFonts w:hint="eastAsia" w:ascii="黑体" w:hAnsi="黑体" w:eastAsia="黑体" w:cs="黑体"/>
          <w:sz w:val="32"/>
          <w:szCs w:val="32"/>
          <w:lang w:eastAsia="zh-CN"/>
        </w:rPr>
        <w:t>。招标人应当对招标文件进行公平竞争审查。</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lang w:eastAsia="zh-CN"/>
        </w:rPr>
      </w:pPr>
      <w:r>
        <w:rPr>
          <w:rFonts w:hint="eastAsia" w:ascii="黑体" w:hAnsi="黑体" w:eastAsia="黑体" w:cs="黑体"/>
          <w:sz w:val="32"/>
          <w:szCs w:val="32"/>
        </w:rPr>
        <w:t>招标人设有最高投标限价的，应当</w:t>
      </w:r>
      <w:r>
        <w:rPr>
          <w:rFonts w:hint="eastAsia" w:ascii="黑体" w:hAnsi="黑体" w:eastAsia="黑体" w:cs="黑体"/>
          <w:sz w:val="32"/>
          <w:szCs w:val="32"/>
          <w:lang w:eastAsia="zh-CN"/>
        </w:rPr>
        <w:t>按照国家及省有关规定编制最高投标限价，并在发布招标文件时公布最高投标限价及其编制依据。</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lang w:eastAsia="zh-CN"/>
        </w:rPr>
      </w:pPr>
      <w:r>
        <w:rPr>
          <w:rFonts w:hint="eastAsia" w:ascii="黑体" w:hAnsi="黑体" w:eastAsia="黑体" w:cs="黑体"/>
          <w:sz w:val="32"/>
          <w:szCs w:val="32"/>
        </w:rPr>
        <w:t>招标人不得要求投标人以低于成本的价格投标，投标人不得以低于成本的报价竞标，低于成本报价的投标应当被否决。</w:t>
      </w:r>
      <w:r>
        <w:rPr>
          <w:rFonts w:hint="eastAsia" w:ascii="黑体" w:hAnsi="黑体" w:eastAsia="黑体" w:cs="黑体"/>
          <w:sz w:val="32"/>
          <w:szCs w:val="32"/>
          <w:lang w:eastAsia="zh-CN"/>
        </w:rPr>
        <w:t>招标人不得违反招标文件，向中标人提出压低报价、让利、增加工作量、压缩工期、指定分包单位等违背中标人意愿的要求，并不得以此作为发出中标通知书和签订合同的条件。</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黑体" w:hAnsi="黑体" w:eastAsia="黑体" w:cs="黑体"/>
          <w:sz w:val="32"/>
          <w:szCs w:val="32"/>
        </w:rPr>
        <w:t xml:space="preserve">第十一条 </w:t>
      </w:r>
      <w:r>
        <w:rPr>
          <w:rFonts w:hint="eastAsia" w:ascii="仿宋_GB2312" w:hAnsi="仿宋_GB2312" w:eastAsia="仿宋_GB2312" w:cs="仿宋_GB2312"/>
          <w:sz w:val="32"/>
          <w:szCs w:val="32"/>
        </w:rPr>
        <w:t>承包单位应当自行组织完成其承包的全部工程业务，或者按照国家和省有关规定将部分工程业务依法分包给具有相应资质的承包单位，不得转包、违法分包。建设单位和施工总承包单位应当在承包合同中对分包工程、工程材料和设备供应方式等内容予以明确约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工程总承包单位不得将工程全部设计业务或者全部施工业务转给其他单位或者个人承包。</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勘察、设计承包单位不得将工程主体的勘察、设计分给其他单位或者个人承包。</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黑体" w:hAnsi="黑体" w:eastAsia="黑体" w:cs="黑体"/>
          <w:sz w:val="32"/>
          <w:szCs w:val="32"/>
        </w:rPr>
        <w:t xml:space="preserve">第十二条 </w:t>
      </w:r>
      <w:r>
        <w:rPr>
          <w:rFonts w:hint="eastAsia" w:ascii="仿宋_GB2312" w:hAnsi="仿宋_GB2312" w:eastAsia="仿宋_GB2312" w:cs="仿宋_GB2312"/>
          <w:sz w:val="32"/>
          <w:szCs w:val="32"/>
        </w:rPr>
        <w:t>招标代理机构应当拥有一定数量的具备编制招标文件、组织评标等相应能力的专业人员，在其代理的招标项目中应当明确项目负责人。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住房和城乡建设主管部门应当建立健全招标代理机构专业能力评价机制</w:t>
      </w:r>
      <w:r>
        <w:rPr>
          <w:rFonts w:hint="eastAsia" w:ascii="黑体" w:hAnsi="黑体" w:eastAsia="黑体" w:cs="黑体"/>
          <w:sz w:val="32"/>
          <w:szCs w:val="32"/>
          <w:lang w:eastAsia="zh-CN"/>
        </w:rPr>
        <w:t>和退出机制</w:t>
      </w:r>
      <w:r>
        <w:rPr>
          <w:rFonts w:hint="eastAsia" w:ascii="仿宋_GB2312" w:hAnsi="仿宋_GB2312" w:eastAsia="仿宋_GB2312" w:cs="仿宋_GB2312"/>
          <w:sz w:val="32"/>
          <w:szCs w:val="32"/>
        </w:rPr>
        <w:t>，对招标代理机构及其从业人员违反法律、法规、规章和规范性文件规定的行为予以记录并向社会公开。</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黑体" w:hAnsi="黑体" w:eastAsia="黑体" w:cs="黑体"/>
          <w:sz w:val="32"/>
          <w:szCs w:val="32"/>
        </w:rPr>
        <w:t xml:space="preserve">第十三条 </w:t>
      </w:r>
      <w:r>
        <w:rPr>
          <w:rFonts w:hint="eastAsia" w:ascii="仿宋_GB2312" w:hAnsi="仿宋_GB2312" w:eastAsia="仿宋_GB2312" w:cs="仿宋_GB2312"/>
          <w:sz w:val="32"/>
          <w:szCs w:val="32"/>
        </w:rPr>
        <w:t>依法必须进行招标的房屋市政工程项目，除法律、行政法规规定的特殊招标项目外，应当由招标人依法组建的评标委员会负责评标。</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评标委员会的专家成员应当从省综合评标专家库内相关专业的专家中随机抽取确定。参加评标的招标人代表应当为</w:t>
      </w:r>
      <w:r>
        <w:rPr>
          <w:rFonts w:hint="eastAsia" w:ascii="仿宋_GB2312" w:hAnsi="仿宋_GB2312" w:eastAsia="仿宋_GB2312" w:cs="仿宋_GB2312"/>
          <w:sz w:val="32"/>
          <w:szCs w:val="32"/>
          <w:bdr w:val="single" w:sz="4" w:space="0"/>
        </w:rPr>
        <w:t>招标人的工作人员或者招标人聘用的</w:t>
      </w:r>
      <w:r>
        <w:rPr>
          <w:rFonts w:hint="eastAsia" w:ascii="仿宋_GB2312" w:hAnsi="仿宋_GB2312" w:eastAsia="仿宋_GB2312" w:cs="仿宋_GB2312"/>
          <w:sz w:val="32"/>
          <w:szCs w:val="32"/>
        </w:rPr>
        <w:t>具备评标专家相同标准的专业技术人员。</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黑体" w:hAnsi="黑体" w:eastAsia="黑体" w:cs="黑体"/>
          <w:sz w:val="32"/>
          <w:szCs w:val="32"/>
        </w:rPr>
        <w:t>第十四条 依法必须进行招标的房屋市政工程项目，</w:t>
      </w:r>
      <w:r>
        <w:rPr>
          <w:rFonts w:hint="eastAsia" w:ascii="仿宋_GB2312" w:hAnsi="仿宋_GB2312" w:eastAsia="仿宋_GB2312" w:cs="仿宋_GB2312"/>
          <w:sz w:val="32"/>
          <w:szCs w:val="32"/>
        </w:rPr>
        <w:t>招标投标活动应当通过省公共资源交易公共服务平台组织实施，</w:t>
      </w:r>
      <w:r>
        <w:rPr>
          <w:rFonts w:hint="eastAsia" w:ascii="黑体" w:hAnsi="黑体" w:eastAsia="黑体" w:cs="黑体"/>
          <w:sz w:val="32"/>
          <w:szCs w:val="32"/>
          <w:lang w:eastAsia="zh-CN"/>
        </w:rPr>
        <w:t>逐步开展“双盲”评审和远程异地评标，</w:t>
      </w:r>
      <w:r>
        <w:rPr>
          <w:rFonts w:hint="eastAsia" w:ascii="仿宋_GB2312" w:hAnsi="仿宋_GB2312" w:eastAsia="仿宋_GB2312" w:cs="仿宋_GB2312"/>
          <w:sz w:val="32"/>
          <w:szCs w:val="32"/>
        </w:rPr>
        <w:t>并接受公众监督。</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省公共资源交易公共服务平台</w:t>
      </w:r>
      <w:r>
        <w:rPr>
          <w:rFonts w:hint="eastAsia" w:ascii="仿宋_GB2312" w:hAnsi="仿宋_GB2312" w:eastAsia="仿宋_GB2312" w:cs="仿宋_GB2312"/>
          <w:sz w:val="32"/>
          <w:szCs w:val="32"/>
          <w:bdr w:val="single" w:sz="4" w:space="0"/>
        </w:rPr>
        <w:t>应当</w:t>
      </w:r>
      <w:r>
        <w:rPr>
          <w:rFonts w:hint="eastAsia" w:ascii="仿宋_GB2312" w:hAnsi="仿宋_GB2312" w:eastAsia="仿宋_GB2312" w:cs="仿宋_GB2312"/>
          <w:sz w:val="32"/>
          <w:szCs w:val="32"/>
        </w:rPr>
        <w:t>与省建筑市场监管公共服务平台</w:t>
      </w:r>
      <w:r>
        <w:rPr>
          <w:rFonts w:hint="eastAsia" w:ascii="黑体" w:hAnsi="黑体" w:eastAsia="黑体" w:cs="黑体"/>
          <w:sz w:val="32"/>
          <w:szCs w:val="32"/>
          <w:lang w:eastAsia="zh-CN"/>
        </w:rPr>
        <w:t>应当</w:t>
      </w:r>
      <w:r>
        <w:rPr>
          <w:rFonts w:hint="eastAsia" w:ascii="仿宋_GB2312" w:hAnsi="仿宋_GB2312" w:eastAsia="仿宋_GB2312" w:cs="仿宋_GB2312"/>
          <w:sz w:val="32"/>
          <w:szCs w:val="32"/>
        </w:rPr>
        <w:t>建立招标投标信息和数据共享机制。</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黑体" w:hAnsi="黑体" w:eastAsia="黑体" w:cs="黑体"/>
          <w:sz w:val="32"/>
          <w:szCs w:val="32"/>
        </w:rPr>
        <w:t xml:space="preserve">第十五条 </w:t>
      </w:r>
      <w:r>
        <w:rPr>
          <w:rFonts w:hint="eastAsia" w:ascii="仿宋_GB2312" w:hAnsi="仿宋_GB2312" w:eastAsia="仿宋_GB2312" w:cs="仿宋_GB2312"/>
          <w:sz w:val="32"/>
          <w:szCs w:val="32"/>
        </w:rPr>
        <w:t>鼓励各地结合实际推行工程总承包、培育全过程工程咨询，完善工程建设组织模式。</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工程总承包单位应当同时具有与工程规模相适应的工程设计资质和施工资质，或者由具有相应资质的设计单位和施工单位组成联合体。</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全过程工程咨询服务应当由一家具有综合能力的咨询单位实施，或者由多家具有招标代理、勘察、设计、监理、造价、项目管理等不同能力的咨询单位联合实施。</w:t>
      </w:r>
    </w:p>
    <w:p>
      <w:pPr>
        <w:keepNext w:val="0"/>
        <w:keepLines w:val="0"/>
        <w:pageBreakBefore w:val="0"/>
        <w:widowControl w:val="0"/>
        <w:kinsoku/>
        <w:wordWrap/>
        <w:overflowPunct/>
        <w:topLinePunct w:val="0"/>
        <w:autoSpaceDE/>
        <w:autoSpaceDN/>
        <w:bidi w:val="0"/>
        <w:adjustRightInd/>
        <w:snapToGrid/>
        <w:spacing w:before="157" w:beforeLines="50" w:after="157" w:afterLines="50"/>
        <w:jc w:val="center"/>
        <w:textAlignment w:val="auto"/>
        <w:rPr>
          <w:rFonts w:hint="eastAsia" w:ascii="黑体" w:hAnsi="黑体" w:eastAsia="黑体" w:cs="黑体"/>
          <w:sz w:val="32"/>
          <w:szCs w:val="32"/>
        </w:rPr>
      </w:pPr>
    </w:p>
    <w:p>
      <w:pPr>
        <w:keepNext w:val="0"/>
        <w:keepLines w:val="0"/>
        <w:pageBreakBefore w:val="0"/>
        <w:widowControl w:val="0"/>
        <w:kinsoku/>
        <w:wordWrap/>
        <w:overflowPunct/>
        <w:topLinePunct w:val="0"/>
        <w:autoSpaceDE/>
        <w:autoSpaceDN/>
        <w:bidi w:val="0"/>
        <w:adjustRightInd/>
        <w:snapToGrid/>
        <w:spacing w:before="157" w:beforeLines="50" w:after="157" w:afterLines="50"/>
        <w:jc w:val="center"/>
        <w:textAlignment w:val="auto"/>
        <w:rPr>
          <w:rFonts w:hint="eastAsia" w:ascii="黑体" w:hAnsi="黑体" w:eastAsia="黑体" w:cs="黑体"/>
          <w:sz w:val="32"/>
          <w:szCs w:val="32"/>
        </w:rPr>
      </w:pPr>
      <w:r>
        <w:rPr>
          <w:rFonts w:hint="eastAsia" w:ascii="黑体" w:hAnsi="黑体" w:eastAsia="黑体" w:cs="黑体"/>
          <w:sz w:val="32"/>
          <w:szCs w:val="32"/>
        </w:rPr>
        <w:t>第三章 工程质量与安全生产</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rPr>
      </w:pPr>
    </w:p>
    <w:p>
      <w:pPr>
        <w:widowControl/>
        <w:adjustRightInd/>
        <w:snapToGrid/>
        <w:spacing w:after="0" w:line="300" w:lineRule="atLeast"/>
        <w:ind w:firstLine="640" w:firstLineChars="200"/>
        <w:jc w:val="both"/>
        <w:rPr>
          <w:rFonts w:hint="eastAsia" w:ascii="黑体" w:hAnsi="黑体" w:eastAsia="黑体" w:cs="黑体"/>
          <w:sz w:val="32"/>
          <w:szCs w:val="32"/>
        </w:rPr>
      </w:pPr>
      <w:r>
        <w:rPr>
          <w:rFonts w:hint="eastAsia" w:ascii="黑体" w:hAnsi="黑体" w:eastAsia="黑体" w:cs="黑体"/>
          <w:sz w:val="32"/>
          <w:szCs w:val="32"/>
        </w:rPr>
        <w:t>第</w:t>
      </w:r>
      <w:r>
        <w:rPr>
          <w:rFonts w:hint="eastAsia" w:ascii="黑体" w:hAnsi="黑体" w:eastAsia="黑体" w:cs="黑体"/>
          <w:sz w:val="32"/>
          <w:szCs w:val="32"/>
          <w:lang w:eastAsia="zh-CN"/>
        </w:rPr>
        <w:t>十六条</w:t>
      </w:r>
      <w:r>
        <w:rPr>
          <w:rFonts w:hint="eastAsia" w:ascii="仿宋_GB2312" w:hAnsi="Arial" w:eastAsia="仿宋_GB2312" w:cs="Arial"/>
          <w:kern w:val="0"/>
          <w:szCs w:val="32"/>
        </w:rPr>
        <w:t>　</w:t>
      </w:r>
      <w:r>
        <w:rPr>
          <w:rFonts w:hint="eastAsia" w:ascii="黑体" w:hAnsi="黑体" w:eastAsia="黑体" w:cs="黑体"/>
          <w:sz w:val="32"/>
          <w:szCs w:val="32"/>
        </w:rPr>
        <w:t>房屋市政工程的质量和安全监督，由工程</w:t>
      </w:r>
      <w:r>
        <w:rPr>
          <w:rFonts w:hint="eastAsia" w:ascii="黑体" w:hAnsi="黑体" w:eastAsia="黑体" w:cs="黑体"/>
          <w:sz w:val="32"/>
          <w:szCs w:val="32"/>
          <w:lang w:eastAsia="zh-CN"/>
        </w:rPr>
        <w:t>项目</w:t>
      </w:r>
      <w:r>
        <w:rPr>
          <w:rFonts w:hint="eastAsia" w:ascii="黑体" w:hAnsi="黑体" w:eastAsia="黑体" w:cs="黑体"/>
          <w:sz w:val="32"/>
          <w:szCs w:val="32"/>
        </w:rPr>
        <w:t>所在地</w:t>
      </w:r>
      <w:r>
        <w:rPr>
          <w:rFonts w:hint="eastAsia" w:ascii="黑体" w:hAnsi="黑体" w:eastAsia="黑体" w:cs="黑体"/>
          <w:sz w:val="32"/>
          <w:szCs w:val="32"/>
          <w:lang w:eastAsia="zh-CN"/>
        </w:rPr>
        <w:t>的</w:t>
      </w:r>
      <w:r>
        <w:rPr>
          <w:rFonts w:hint="eastAsia" w:ascii="黑体" w:hAnsi="黑体" w:eastAsia="黑体" w:cs="黑体"/>
          <w:sz w:val="32"/>
          <w:szCs w:val="32"/>
        </w:rPr>
        <w:t>县级以上人民政府住房和城乡建设主管部门负责。</w:t>
      </w:r>
    </w:p>
    <w:p>
      <w:pPr>
        <w:widowControl/>
        <w:adjustRightInd/>
        <w:snapToGrid/>
        <w:spacing w:after="0" w:line="300" w:lineRule="atLeast"/>
        <w:ind w:firstLine="640" w:firstLineChars="200"/>
        <w:jc w:val="both"/>
        <w:rPr>
          <w:rFonts w:hint="eastAsia" w:ascii="黑体" w:hAnsi="黑体" w:eastAsia="黑体" w:cs="黑体"/>
          <w:sz w:val="32"/>
          <w:szCs w:val="32"/>
          <w:lang w:eastAsia="zh-CN"/>
        </w:rPr>
      </w:pPr>
      <w:r>
        <w:rPr>
          <w:rFonts w:hint="eastAsia" w:ascii="黑体" w:hAnsi="黑体" w:eastAsia="黑体" w:cs="黑体"/>
          <w:sz w:val="32"/>
          <w:szCs w:val="32"/>
        </w:rPr>
        <w:t>建设、勘察、设计、施工、监理单位的工程项目负责人对工程质量承担相应责任</w:t>
      </w:r>
      <w:r>
        <w:rPr>
          <w:rFonts w:hint="eastAsia" w:ascii="黑体" w:hAnsi="黑体" w:eastAsia="黑体" w:cs="黑体"/>
          <w:sz w:val="32"/>
          <w:szCs w:val="32"/>
          <w:lang w:eastAsia="zh-CN"/>
        </w:rPr>
        <w:t>。</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黑体" w:hAnsi="黑体" w:eastAsia="黑体" w:cs="黑体"/>
          <w:sz w:val="32"/>
          <w:szCs w:val="32"/>
        </w:rPr>
        <w:t>第</w:t>
      </w:r>
      <w:r>
        <w:rPr>
          <w:rFonts w:hint="eastAsia" w:ascii="黑体" w:hAnsi="黑体" w:eastAsia="黑体" w:cs="黑体"/>
          <w:sz w:val="32"/>
          <w:szCs w:val="32"/>
          <w:bdr w:val="single" w:sz="4" w:space="0"/>
        </w:rPr>
        <w:t>十六</w:t>
      </w:r>
      <w:r>
        <w:rPr>
          <w:rFonts w:hint="eastAsia" w:ascii="黑体" w:hAnsi="黑体" w:eastAsia="黑体" w:cs="黑体"/>
          <w:sz w:val="32"/>
          <w:szCs w:val="32"/>
          <w:lang w:eastAsia="zh-CN"/>
        </w:rPr>
        <w:t>十七</w:t>
      </w:r>
      <w:r>
        <w:rPr>
          <w:rFonts w:hint="eastAsia" w:ascii="黑体" w:hAnsi="黑体" w:eastAsia="黑体" w:cs="黑体"/>
          <w:sz w:val="32"/>
          <w:szCs w:val="32"/>
        </w:rPr>
        <w:t xml:space="preserve">条 </w:t>
      </w:r>
      <w:r>
        <w:rPr>
          <w:rFonts w:hint="eastAsia" w:ascii="仿宋_GB2312" w:hAnsi="仿宋_GB2312" w:eastAsia="仿宋_GB2312" w:cs="仿宋_GB2312"/>
          <w:sz w:val="32"/>
          <w:szCs w:val="32"/>
        </w:rPr>
        <w:t>建设单位应当将施工图设计文件送施工图审查机构审查。施工图设计文件未经审查或者审查不合格的，不得使用。</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施工图设计文件变更依法应当重新审查的，建设单位应当送原审查机构审查。原审查机构存在注销、吊销、停业、歇业以及其他无法进行正常审查活动的情形，经工程项目所在地住房和城乡建设主管部门书面同意可以重新委托其他审查机构。重新委托的审查机构资质等级不得低于原审查机构。</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黑体" w:hAnsi="黑体" w:eastAsia="黑体" w:cs="黑体"/>
          <w:sz w:val="32"/>
          <w:szCs w:val="32"/>
        </w:rPr>
        <w:t>第</w:t>
      </w:r>
      <w:r>
        <w:rPr>
          <w:rFonts w:hint="eastAsia" w:ascii="黑体" w:hAnsi="黑体" w:eastAsia="黑体" w:cs="黑体"/>
          <w:sz w:val="32"/>
          <w:szCs w:val="32"/>
          <w:bdr w:val="single" w:sz="4" w:space="0"/>
        </w:rPr>
        <w:t>十七</w:t>
      </w:r>
      <w:r>
        <w:rPr>
          <w:rFonts w:hint="eastAsia" w:ascii="黑体" w:hAnsi="黑体" w:eastAsia="黑体" w:cs="黑体"/>
          <w:sz w:val="32"/>
          <w:szCs w:val="32"/>
          <w:lang w:eastAsia="zh-CN"/>
        </w:rPr>
        <w:t>十八</w:t>
      </w:r>
      <w:r>
        <w:rPr>
          <w:rFonts w:hint="eastAsia" w:ascii="黑体" w:hAnsi="黑体" w:eastAsia="黑体" w:cs="黑体"/>
          <w:sz w:val="32"/>
          <w:szCs w:val="32"/>
        </w:rPr>
        <w:t xml:space="preserve">条 </w:t>
      </w:r>
      <w:r>
        <w:rPr>
          <w:rFonts w:hint="eastAsia" w:ascii="仿宋_GB2312" w:hAnsi="仿宋_GB2312" w:eastAsia="仿宋_GB2312" w:cs="仿宋_GB2312"/>
          <w:sz w:val="32"/>
          <w:szCs w:val="32"/>
        </w:rPr>
        <w:t>建筑市场各方主体应当依法依规履行安全生产责任。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从事房屋市政工程施工活动应当取得安全生产许可证。招标人在招标文件中应当将取得安全生产许可证作为参与投标的基本条件。</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房屋市政工程开工前，建设单位应当按照规定办理质量、安全监督手续和施工许可证。</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黑体" w:hAnsi="黑体" w:eastAsia="黑体" w:cs="黑体"/>
          <w:sz w:val="32"/>
          <w:szCs w:val="32"/>
        </w:rPr>
        <w:t>第</w:t>
      </w:r>
      <w:r>
        <w:rPr>
          <w:rFonts w:hint="eastAsia" w:ascii="黑体" w:hAnsi="黑体" w:eastAsia="黑体" w:cs="黑体"/>
          <w:sz w:val="32"/>
          <w:szCs w:val="32"/>
          <w:bdr w:val="single" w:sz="4" w:space="0"/>
        </w:rPr>
        <w:t>十八</w:t>
      </w:r>
      <w:r>
        <w:rPr>
          <w:rFonts w:hint="eastAsia" w:ascii="黑体" w:hAnsi="黑体" w:eastAsia="黑体" w:cs="黑体"/>
          <w:sz w:val="32"/>
          <w:szCs w:val="32"/>
          <w:lang w:eastAsia="zh-CN"/>
        </w:rPr>
        <w:t>十九</w:t>
      </w:r>
      <w:r>
        <w:rPr>
          <w:rFonts w:hint="eastAsia" w:ascii="黑体" w:hAnsi="黑体" w:eastAsia="黑体" w:cs="黑体"/>
          <w:sz w:val="32"/>
          <w:szCs w:val="32"/>
        </w:rPr>
        <w:t xml:space="preserve">条 </w:t>
      </w:r>
      <w:r>
        <w:rPr>
          <w:rFonts w:hint="eastAsia" w:ascii="仿宋_GB2312" w:hAnsi="仿宋_GB2312" w:eastAsia="仿宋_GB2312" w:cs="仿宋_GB2312"/>
          <w:sz w:val="32"/>
          <w:szCs w:val="32"/>
        </w:rPr>
        <w:t>建设单位应当健全工程项目质量管理体系，配备专职人员并明确其质量管理职责，不具备条件的可以聘用专业机构或者专业人员。</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黑体" w:hAnsi="黑体" w:eastAsia="黑体" w:cs="黑体"/>
          <w:sz w:val="32"/>
          <w:szCs w:val="32"/>
        </w:rPr>
        <w:t>第</w:t>
      </w:r>
      <w:r>
        <w:rPr>
          <w:rFonts w:hint="eastAsia" w:ascii="黑体" w:hAnsi="黑体" w:eastAsia="黑体" w:cs="黑体"/>
          <w:sz w:val="32"/>
          <w:szCs w:val="32"/>
          <w:bdr w:val="single" w:sz="4" w:space="0"/>
        </w:rPr>
        <w:t>十九</w:t>
      </w:r>
      <w:r>
        <w:rPr>
          <w:rFonts w:hint="eastAsia" w:ascii="黑体" w:hAnsi="黑体" w:eastAsia="黑体" w:cs="黑体"/>
          <w:sz w:val="32"/>
          <w:szCs w:val="32"/>
          <w:lang w:eastAsia="zh-CN"/>
        </w:rPr>
        <w:t>二十</w:t>
      </w:r>
      <w:r>
        <w:rPr>
          <w:rFonts w:hint="eastAsia" w:ascii="黑体" w:hAnsi="黑体" w:eastAsia="黑体" w:cs="黑体"/>
          <w:sz w:val="32"/>
          <w:szCs w:val="32"/>
        </w:rPr>
        <w:t xml:space="preserve">条 </w:t>
      </w:r>
      <w:r>
        <w:rPr>
          <w:rFonts w:hint="eastAsia" w:ascii="仿宋_GB2312" w:hAnsi="仿宋_GB2312" w:eastAsia="仿宋_GB2312" w:cs="仿宋_GB2312"/>
          <w:sz w:val="32"/>
          <w:szCs w:val="32"/>
        </w:rPr>
        <w:t>施工、监理单位应当组建项目管理机构、项目监理机构，配备与工程规模和复杂程度相适应的管理人员，明确管理职责。配备的施工管理人员应当与中标通知书或者直接发包确认书、施工合同、施工组织设计载明人员相一致。配备的监理</w:t>
      </w:r>
      <w:r>
        <w:rPr>
          <w:rFonts w:hint="eastAsia" w:ascii="黑体" w:hAnsi="黑体" w:eastAsia="黑体" w:cs="黑体"/>
          <w:sz w:val="32"/>
          <w:szCs w:val="32"/>
        </w:rPr>
        <w:t>管理</w:t>
      </w:r>
      <w:r>
        <w:rPr>
          <w:rFonts w:hint="eastAsia" w:ascii="仿宋_GB2312" w:hAnsi="仿宋_GB2312" w:eastAsia="仿宋_GB2312" w:cs="仿宋_GB2312"/>
          <w:sz w:val="32"/>
          <w:szCs w:val="32"/>
        </w:rPr>
        <w:t>人员应当与投标文件、监理合同、监理规划相一致。</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施工现场配备的施工、监理管理人员不得擅自变更。确需变更的，应当经建设单位同意。变更的施工、监理管理人员应当具备原施工、监理管理人</w:t>
      </w:r>
      <w:r>
        <w:rPr>
          <w:rFonts w:hint="eastAsia" w:ascii="仿宋_GB2312" w:hAnsi="仿宋_GB2312" w:eastAsia="仿宋_GB2312" w:cs="仿宋_GB2312"/>
          <w:sz w:val="32"/>
          <w:szCs w:val="32"/>
          <w:lang w:eastAsia="zh-CN"/>
        </w:rPr>
        <w:t>员</w:t>
      </w:r>
      <w:r>
        <w:rPr>
          <w:rFonts w:hint="eastAsia" w:ascii="仿宋_GB2312" w:hAnsi="仿宋_GB2312" w:eastAsia="仿宋_GB2312" w:cs="仿宋_GB2312"/>
          <w:sz w:val="32"/>
          <w:szCs w:val="32"/>
        </w:rPr>
        <w:t>同等或者以上资格。</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黑体" w:hAnsi="黑体" w:eastAsia="黑体" w:cs="黑体"/>
          <w:sz w:val="32"/>
          <w:szCs w:val="32"/>
        </w:rPr>
        <w:t>第</w:t>
      </w:r>
      <w:r>
        <w:rPr>
          <w:rFonts w:hint="eastAsia" w:ascii="黑体" w:hAnsi="黑体" w:eastAsia="黑体" w:cs="黑体"/>
          <w:sz w:val="32"/>
          <w:szCs w:val="32"/>
          <w:bdr w:val="single" w:sz="4" w:space="0"/>
        </w:rPr>
        <w:t>二十</w:t>
      </w:r>
      <w:r>
        <w:rPr>
          <w:rFonts w:hint="eastAsia" w:ascii="黑体" w:hAnsi="黑体" w:eastAsia="黑体" w:cs="黑体"/>
          <w:sz w:val="32"/>
          <w:szCs w:val="32"/>
          <w:lang w:eastAsia="zh-CN"/>
        </w:rPr>
        <w:t>二十一</w:t>
      </w:r>
      <w:r>
        <w:rPr>
          <w:rFonts w:hint="eastAsia" w:ascii="黑体" w:hAnsi="黑体" w:eastAsia="黑体" w:cs="黑体"/>
          <w:sz w:val="32"/>
          <w:szCs w:val="32"/>
        </w:rPr>
        <w:t xml:space="preserve">条 </w:t>
      </w:r>
      <w:r>
        <w:rPr>
          <w:rFonts w:hint="eastAsia" w:ascii="仿宋_GB2312" w:hAnsi="仿宋_GB2312" w:eastAsia="仿宋_GB2312" w:cs="仿宋_GB2312"/>
          <w:sz w:val="32"/>
          <w:szCs w:val="32"/>
        </w:rPr>
        <w:t>进入施工现场的建设单位、施工单位、监理单位的项目管理人员以及建筑工人信息应当按规定录入省建筑工人实名制管理平台。</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在施工过程中，建设单位、施工单位、监理单位项目管理人员发生变更的，应当在省建筑工人实名制管理平台同步进行变更。</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黑体" w:hAnsi="黑体" w:eastAsia="黑体" w:cs="黑体"/>
          <w:sz w:val="32"/>
          <w:szCs w:val="32"/>
        </w:rPr>
        <w:t>第</w:t>
      </w:r>
      <w:r>
        <w:rPr>
          <w:rFonts w:hint="eastAsia" w:ascii="黑体" w:hAnsi="黑体" w:eastAsia="黑体" w:cs="黑体"/>
          <w:sz w:val="32"/>
          <w:szCs w:val="32"/>
          <w:bdr w:val="single" w:sz="4" w:space="0"/>
        </w:rPr>
        <w:t>二十一</w:t>
      </w:r>
      <w:r>
        <w:rPr>
          <w:rFonts w:hint="eastAsia" w:ascii="黑体" w:hAnsi="黑体" w:eastAsia="黑体" w:cs="黑体"/>
          <w:sz w:val="32"/>
          <w:szCs w:val="32"/>
          <w:lang w:eastAsia="zh-CN"/>
        </w:rPr>
        <w:t>二十二</w:t>
      </w:r>
      <w:r>
        <w:rPr>
          <w:rFonts w:hint="eastAsia" w:ascii="黑体" w:hAnsi="黑体" w:eastAsia="黑体" w:cs="黑体"/>
          <w:sz w:val="32"/>
          <w:szCs w:val="32"/>
        </w:rPr>
        <w:t xml:space="preserve">条 </w:t>
      </w:r>
      <w:r>
        <w:rPr>
          <w:rFonts w:hint="eastAsia" w:ascii="仿宋_GB2312" w:hAnsi="仿宋_GB2312" w:eastAsia="仿宋_GB2312" w:cs="仿宋_GB2312"/>
          <w:sz w:val="32"/>
          <w:szCs w:val="32"/>
        </w:rPr>
        <w:t>建设单位应当加强施工现场检查，发现参与项目建设的施工单位的项目负责人、监理单位的总监理工程师等管理人员未在岗履职，或者承包单位存在转包、违法分包及挂靠等行为的，应当及时纠正，并向工程</w:t>
      </w:r>
      <w:r>
        <w:rPr>
          <w:rFonts w:hint="eastAsia" w:ascii="仿宋_GB2312" w:hAnsi="仿宋_GB2312" w:eastAsia="仿宋_GB2312" w:cs="仿宋_GB2312"/>
          <w:sz w:val="32"/>
          <w:szCs w:val="32"/>
          <w:lang w:eastAsia="zh-CN"/>
        </w:rPr>
        <w:t>项目</w:t>
      </w:r>
      <w:r>
        <w:rPr>
          <w:rFonts w:hint="eastAsia" w:ascii="仿宋_GB2312" w:hAnsi="仿宋_GB2312" w:eastAsia="仿宋_GB2312" w:cs="仿宋_GB2312"/>
          <w:sz w:val="32"/>
          <w:szCs w:val="32"/>
        </w:rPr>
        <w:t>所在地住房和城乡建设主管部门报告。</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对于施工单位项目负责人、专职安全员以及监理单位总监理工程师、安全监理工程师等关键岗位人员每月到岗率低于国家和省有关规定的工程项目，</w:t>
      </w:r>
      <w:r>
        <w:rPr>
          <w:rFonts w:hint="eastAsia" w:ascii="仿宋_GB2312" w:hAnsi="仿宋_GB2312" w:eastAsia="仿宋_GB2312" w:cs="仿宋_GB2312"/>
          <w:sz w:val="32"/>
          <w:szCs w:val="32"/>
          <w:lang w:eastAsia="zh-CN"/>
        </w:rPr>
        <w:t>工程</w:t>
      </w:r>
      <w:r>
        <w:rPr>
          <w:rFonts w:hint="eastAsia" w:ascii="仿宋_GB2312" w:hAnsi="仿宋_GB2312" w:eastAsia="仿宋_GB2312" w:cs="仿宋_GB2312"/>
          <w:sz w:val="32"/>
          <w:szCs w:val="32"/>
        </w:rPr>
        <w:t>项目所在地的质量安全监督机构应当进行重点监管。</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黑体" w:hAnsi="黑体" w:eastAsia="黑体" w:cs="黑体"/>
          <w:sz w:val="32"/>
          <w:szCs w:val="32"/>
        </w:rPr>
        <w:t>第</w:t>
      </w:r>
      <w:r>
        <w:rPr>
          <w:rFonts w:hint="eastAsia" w:ascii="黑体" w:hAnsi="黑体" w:eastAsia="黑体" w:cs="黑体"/>
          <w:sz w:val="32"/>
          <w:szCs w:val="32"/>
          <w:bdr w:val="single" w:sz="4" w:space="0"/>
        </w:rPr>
        <w:t>二十二</w:t>
      </w:r>
      <w:r>
        <w:rPr>
          <w:rFonts w:hint="eastAsia" w:ascii="黑体" w:hAnsi="黑体" w:eastAsia="黑体" w:cs="黑体"/>
          <w:sz w:val="32"/>
          <w:szCs w:val="32"/>
          <w:lang w:eastAsia="zh-CN"/>
        </w:rPr>
        <w:t>二十三</w:t>
      </w:r>
      <w:r>
        <w:rPr>
          <w:rFonts w:hint="eastAsia" w:ascii="黑体" w:hAnsi="黑体" w:eastAsia="黑体" w:cs="黑体"/>
          <w:sz w:val="32"/>
          <w:szCs w:val="32"/>
        </w:rPr>
        <w:t xml:space="preserve">条 </w:t>
      </w:r>
      <w:r>
        <w:rPr>
          <w:rFonts w:hint="eastAsia" w:ascii="仿宋_GB2312" w:hAnsi="仿宋_GB2312" w:eastAsia="仿宋_GB2312" w:cs="仿宋_GB2312"/>
          <w:sz w:val="32"/>
          <w:szCs w:val="32"/>
        </w:rPr>
        <w:t>施工单位应当加强施工现场管理，文明施工。禁止非施工人员擅自进入施工现场。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黑体" w:hAnsi="黑体" w:eastAsia="黑体" w:cs="黑体"/>
          <w:sz w:val="32"/>
          <w:szCs w:val="32"/>
        </w:rPr>
        <w:t>第</w:t>
      </w:r>
      <w:r>
        <w:rPr>
          <w:rFonts w:hint="eastAsia" w:ascii="黑体" w:hAnsi="黑体" w:eastAsia="黑体" w:cs="黑体"/>
          <w:sz w:val="32"/>
          <w:szCs w:val="32"/>
          <w:bdr w:val="single" w:sz="4" w:space="0"/>
        </w:rPr>
        <w:t>二十三</w:t>
      </w:r>
      <w:r>
        <w:rPr>
          <w:rFonts w:hint="eastAsia" w:ascii="黑体" w:hAnsi="黑体" w:eastAsia="黑体" w:cs="黑体"/>
          <w:sz w:val="32"/>
          <w:szCs w:val="32"/>
          <w:lang w:eastAsia="zh-CN"/>
        </w:rPr>
        <w:t>二十四</w:t>
      </w:r>
      <w:r>
        <w:rPr>
          <w:rFonts w:hint="eastAsia" w:ascii="黑体" w:hAnsi="黑体" w:eastAsia="黑体" w:cs="黑体"/>
          <w:sz w:val="32"/>
          <w:szCs w:val="32"/>
        </w:rPr>
        <w:t>条</w:t>
      </w:r>
      <w:r>
        <w:rPr>
          <w:rFonts w:hint="eastAsia" w:ascii="仿宋_GB2312" w:hAnsi="仿宋_GB2312" w:eastAsia="仿宋_GB2312" w:cs="仿宋_GB2312"/>
          <w:sz w:val="32"/>
          <w:szCs w:val="32"/>
        </w:rPr>
        <w:t xml:space="preserve"> 房屋市政工程使用的材料、构配件和设备的质量应当符合设计文件、技术标准和合同要求。</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黑体" w:hAnsi="黑体" w:eastAsia="黑体" w:cs="黑体"/>
          <w:sz w:val="32"/>
          <w:szCs w:val="32"/>
        </w:rPr>
        <w:t>第</w:t>
      </w:r>
      <w:r>
        <w:rPr>
          <w:rFonts w:hint="eastAsia" w:ascii="黑体" w:hAnsi="黑体" w:eastAsia="黑体" w:cs="黑体"/>
          <w:sz w:val="32"/>
          <w:szCs w:val="32"/>
          <w:bdr w:val="single" w:sz="4" w:space="0"/>
        </w:rPr>
        <w:t>二十四</w:t>
      </w:r>
      <w:r>
        <w:rPr>
          <w:rFonts w:hint="eastAsia" w:ascii="黑体" w:hAnsi="黑体" w:eastAsia="黑体" w:cs="黑体"/>
          <w:sz w:val="32"/>
          <w:szCs w:val="32"/>
          <w:lang w:eastAsia="zh-CN"/>
        </w:rPr>
        <w:t>二十五</w:t>
      </w:r>
      <w:r>
        <w:rPr>
          <w:rFonts w:hint="eastAsia" w:ascii="黑体" w:hAnsi="黑体" w:eastAsia="黑体" w:cs="黑体"/>
          <w:sz w:val="32"/>
          <w:szCs w:val="32"/>
        </w:rPr>
        <w:t xml:space="preserve">条 </w:t>
      </w:r>
      <w:r>
        <w:rPr>
          <w:rFonts w:hint="eastAsia" w:ascii="仿宋_GB2312" w:hAnsi="仿宋_GB2312" w:eastAsia="仿宋_GB2312" w:cs="仿宋_GB2312"/>
          <w:sz w:val="32"/>
          <w:szCs w:val="32"/>
        </w:rPr>
        <w:t>房屋市政工程勘察、设计文件中采用新技术、新材料、新工艺，可能影响工程质量和安全，并且没有国家、地方技术标准的，应当经国家认可的检测机构进行试验、论证，出具检测报告，并依法审定后，方可使用。</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黑体" w:hAnsi="黑体" w:eastAsia="黑体" w:cs="黑体"/>
          <w:sz w:val="32"/>
          <w:szCs w:val="32"/>
        </w:rPr>
        <w:t>第</w:t>
      </w:r>
      <w:r>
        <w:rPr>
          <w:rFonts w:hint="eastAsia" w:ascii="黑体" w:hAnsi="黑体" w:eastAsia="黑体" w:cs="黑体"/>
          <w:sz w:val="32"/>
          <w:szCs w:val="32"/>
          <w:bdr w:val="single" w:sz="4" w:space="0"/>
        </w:rPr>
        <w:t>二十五</w:t>
      </w:r>
      <w:r>
        <w:rPr>
          <w:rFonts w:hint="eastAsia" w:ascii="黑体" w:hAnsi="黑体" w:eastAsia="黑体" w:cs="黑体"/>
          <w:sz w:val="32"/>
          <w:szCs w:val="32"/>
          <w:lang w:eastAsia="zh-CN"/>
        </w:rPr>
        <w:t>二十六</w:t>
      </w:r>
      <w:r>
        <w:rPr>
          <w:rFonts w:hint="eastAsia" w:ascii="黑体" w:hAnsi="黑体" w:eastAsia="黑体" w:cs="黑体"/>
          <w:sz w:val="32"/>
          <w:szCs w:val="32"/>
        </w:rPr>
        <w:t xml:space="preserve">条 </w:t>
      </w:r>
      <w:r>
        <w:rPr>
          <w:rFonts w:hint="eastAsia" w:ascii="仿宋_GB2312" w:hAnsi="仿宋_GB2312" w:eastAsia="仿宋_GB2312" w:cs="仿宋_GB2312"/>
          <w:sz w:val="32"/>
          <w:szCs w:val="32"/>
        </w:rPr>
        <w:t>监理单位应当依照法律法规的规定以及相关技术标准、设计文件和工程承包合同，代表建设单位对工程施工质量、建设工期、建设资金使用和施工安全等进行监理。</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黑体" w:hAnsi="黑体" w:eastAsia="黑体" w:cs="黑体"/>
          <w:sz w:val="32"/>
          <w:szCs w:val="32"/>
        </w:rPr>
        <w:t>第</w:t>
      </w:r>
      <w:r>
        <w:rPr>
          <w:rFonts w:hint="eastAsia" w:ascii="黑体" w:hAnsi="黑体" w:eastAsia="黑体" w:cs="黑体"/>
          <w:sz w:val="32"/>
          <w:szCs w:val="32"/>
          <w:bdr w:val="single" w:sz="4" w:space="0"/>
        </w:rPr>
        <w:t>二十六</w:t>
      </w:r>
      <w:r>
        <w:rPr>
          <w:rFonts w:hint="eastAsia" w:ascii="黑体" w:hAnsi="黑体" w:eastAsia="黑体" w:cs="黑体"/>
          <w:sz w:val="32"/>
          <w:szCs w:val="32"/>
          <w:lang w:eastAsia="zh-CN"/>
        </w:rPr>
        <w:t>二十七</w:t>
      </w:r>
      <w:r>
        <w:rPr>
          <w:rFonts w:hint="eastAsia" w:ascii="黑体" w:hAnsi="黑体" w:eastAsia="黑体" w:cs="黑体"/>
          <w:sz w:val="32"/>
          <w:szCs w:val="32"/>
        </w:rPr>
        <w:t xml:space="preserve">条 </w:t>
      </w:r>
      <w:r>
        <w:rPr>
          <w:rFonts w:hint="eastAsia" w:ascii="仿宋_GB2312" w:hAnsi="仿宋_GB2312" w:eastAsia="仿宋_GB2312" w:cs="仿宋_GB2312"/>
          <w:sz w:val="32"/>
          <w:szCs w:val="32"/>
        </w:rPr>
        <w:t>监理单位发现施工单位在施工中有违反法律法规以及工程建设强制性标准施工，或者未按经审查合格的施工图设计文件施工等情形，存在质量和安全事故隐患的，应当要求施工单位整改；情节严重的，应当要求施工单位暂时停止施工，并及时报告建设单位。施工单位拒不整改或者不停止施工的，监理单位应当及时向住房和城乡建设主管部门报告。</w:t>
      </w:r>
    </w:p>
    <w:p>
      <w:pPr>
        <w:keepNext w:val="0"/>
        <w:keepLines w:val="0"/>
        <w:pageBreakBefore w:val="0"/>
        <w:widowControl w:val="0"/>
        <w:kinsoku/>
        <w:wordWrap/>
        <w:overflowPunct/>
        <w:topLinePunct w:val="0"/>
        <w:autoSpaceDE/>
        <w:autoSpaceDN/>
        <w:bidi w:val="0"/>
        <w:adjustRightInd/>
        <w:snapToGrid/>
        <w:spacing w:before="157" w:beforeLines="50" w:after="157" w:afterLines="50"/>
        <w:jc w:val="center"/>
        <w:textAlignment w:val="auto"/>
        <w:rPr>
          <w:rFonts w:hint="eastAsia" w:ascii="黑体" w:hAnsi="黑体" w:eastAsia="黑体" w:cs="黑体"/>
          <w:sz w:val="32"/>
          <w:szCs w:val="32"/>
        </w:rPr>
      </w:pPr>
    </w:p>
    <w:p>
      <w:pPr>
        <w:keepNext w:val="0"/>
        <w:keepLines w:val="0"/>
        <w:pageBreakBefore w:val="0"/>
        <w:widowControl w:val="0"/>
        <w:kinsoku/>
        <w:wordWrap/>
        <w:overflowPunct/>
        <w:topLinePunct w:val="0"/>
        <w:autoSpaceDE/>
        <w:autoSpaceDN/>
        <w:bidi w:val="0"/>
        <w:adjustRightInd/>
        <w:snapToGrid/>
        <w:spacing w:before="157" w:beforeLines="50" w:after="157" w:afterLines="50"/>
        <w:jc w:val="center"/>
        <w:textAlignment w:val="auto"/>
        <w:rPr>
          <w:rFonts w:hint="eastAsia" w:ascii="黑体" w:hAnsi="黑体" w:eastAsia="黑体" w:cs="黑体"/>
          <w:sz w:val="32"/>
          <w:szCs w:val="32"/>
        </w:rPr>
      </w:pPr>
      <w:r>
        <w:rPr>
          <w:rFonts w:hint="eastAsia" w:ascii="黑体" w:hAnsi="黑体" w:eastAsia="黑体" w:cs="黑体"/>
          <w:sz w:val="32"/>
          <w:szCs w:val="32"/>
        </w:rPr>
        <w:t>第四章 工程服务与竣工结算</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rPr>
      </w:pP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黑体" w:hAnsi="黑体" w:eastAsia="黑体" w:cs="黑体"/>
          <w:sz w:val="32"/>
          <w:szCs w:val="32"/>
        </w:rPr>
        <w:t>第</w:t>
      </w:r>
      <w:r>
        <w:rPr>
          <w:rFonts w:hint="eastAsia" w:ascii="黑体" w:hAnsi="黑体" w:eastAsia="黑体" w:cs="黑体"/>
          <w:sz w:val="32"/>
          <w:szCs w:val="32"/>
          <w:bdr w:val="single" w:sz="4" w:space="0"/>
        </w:rPr>
        <w:t>二十七</w:t>
      </w:r>
      <w:r>
        <w:rPr>
          <w:rFonts w:hint="eastAsia" w:ascii="黑体" w:hAnsi="黑体" w:eastAsia="黑体" w:cs="黑体"/>
          <w:sz w:val="32"/>
          <w:szCs w:val="32"/>
          <w:lang w:eastAsia="zh-CN"/>
        </w:rPr>
        <w:t>二十八</w:t>
      </w:r>
      <w:r>
        <w:rPr>
          <w:rFonts w:hint="eastAsia" w:ascii="黑体" w:hAnsi="黑体" w:eastAsia="黑体" w:cs="黑体"/>
          <w:sz w:val="32"/>
          <w:szCs w:val="32"/>
        </w:rPr>
        <w:t xml:space="preserve">条 </w:t>
      </w:r>
      <w:r>
        <w:rPr>
          <w:rFonts w:hint="eastAsia" w:ascii="仿宋_GB2312" w:hAnsi="仿宋_GB2312" w:eastAsia="仿宋_GB2312" w:cs="仿宋_GB2312"/>
          <w:sz w:val="32"/>
          <w:szCs w:val="32"/>
        </w:rPr>
        <w:t>承接工程总承包、勘察、设计、施工项目的，应当签订书面的建设工程合同。承接工程项目管理、招标代理、造价咨询、监理、检测等业务的，应当签订书面的委托合同。鼓励使用国家或者本省制定的合同示范文本。</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黑体" w:hAnsi="黑体" w:eastAsia="黑体" w:cs="黑体"/>
          <w:sz w:val="32"/>
          <w:szCs w:val="32"/>
        </w:rPr>
        <w:t>第</w:t>
      </w:r>
      <w:r>
        <w:rPr>
          <w:rFonts w:hint="eastAsia" w:ascii="黑体" w:hAnsi="黑体" w:eastAsia="黑体" w:cs="黑体"/>
          <w:sz w:val="32"/>
          <w:szCs w:val="32"/>
          <w:bdr w:val="single" w:sz="4" w:space="0"/>
        </w:rPr>
        <w:t>二十八</w:t>
      </w:r>
      <w:r>
        <w:rPr>
          <w:rFonts w:hint="eastAsia" w:ascii="黑体" w:hAnsi="黑体" w:eastAsia="黑体" w:cs="黑体"/>
          <w:sz w:val="32"/>
          <w:szCs w:val="32"/>
          <w:lang w:eastAsia="zh-CN"/>
        </w:rPr>
        <w:t>二十九</w:t>
      </w:r>
      <w:r>
        <w:rPr>
          <w:rFonts w:hint="eastAsia" w:ascii="黑体" w:hAnsi="黑体" w:eastAsia="黑体" w:cs="黑体"/>
          <w:sz w:val="32"/>
          <w:szCs w:val="32"/>
        </w:rPr>
        <w:t xml:space="preserve">条 </w:t>
      </w:r>
      <w:r>
        <w:rPr>
          <w:rFonts w:hint="eastAsia" w:ascii="仿宋_GB2312" w:hAnsi="仿宋_GB2312" w:eastAsia="仿宋_GB2312" w:cs="仿宋_GB2312"/>
          <w:sz w:val="32"/>
          <w:szCs w:val="32"/>
        </w:rPr>
        <w:t>工程监理单位、造价单位、质量检测机构、施工图审查机构等应当依法履行职责，按照有关标准规范、设计文件要求完成承揽或者受委托事务，并对提供的信息、数据、结论以及出具的证明、报告或者其他文件的合法性、真实性、准确性负责。</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黑体" w:hAnsi="黑体" w:eastAsia="黑体" w:cs="黑体"/>
          <w:sz w:val="32"/>
          <w:szCs w:val="32"/>
        </w:rPr>
        <w:t>第</w:t>
      </w:r>
      <w:r>
        <w:rPr>
          <w:rFonts w:hint="eastAsia" w:ascii="黑体" w:hAnsi="黑体" w:eastAsia="黑体" w:cs="黑体"/>
          <w:sz w:val="32"/>
          <w:szCs w:val="32"/>
          <w:bdr w:val="single" w:sz="4" w:space="0"/>
        </w:rPr>
        <w:t>二十九</w:t>
      </w:r>
      <w:r>
        <w:rPr>
          <w:rFonts w:hint="eastAsia" w:ascii="黑体" w:hAnsi="黑体" w:eastAsia="黑体" w:cs="黑体"/>
          <w:sz w:val="32"/>
          <w:szCs w:val="32"/>
          <w:lang w:eastAsia="zh-CN"/>
        </w:rPr>
        <w:t>三十</w:t>
      </w:r>
      <w:r>
        <w:rPr>
          <w:rFonts w:hint="eastAsia" w:ascii="黑体" w:hAnsi="黑体" w:eastAsia="黑体" w:cs="黑体"/>
          <w:sz w:val="32"/>
          <w:szCs w:val="32"/>
        </w:rPr>
        <w:t xml:space="preserve">条 </w:t>
      </w:r>
      <w:r>
        <w:rPr>
          <w:rFonts w:hint="eastAsia" w:ascii="仿宋_GB2312" w:hAnsi="仿宋_GB2312" w:eastAsia="仿宋_GB2312" w:cs="仿宋_GB2312"/>
          <w:sz w:val="32"/>
          <w:szCs w:val="32"/>
        </w:rPr>
        <w:t>工程造价应当符合法律法规规定和标准规范，根据市场供求情况和工期、质量要求合理确定。</w:t>
      </w:r>
      <w:r>
        <w:rPr>
          <w:rFonts w:hint="eastAsia" w:ascii="黑体" w:hAnsi="黑体" w:eastAsia="黑体" w:cs="黑体"/>
          <w:sz w:val="32"/>
          <w:szCs w:val="32"/>
          <w:lang w:eastAsia="zh-CN"/>
        </w:rPr>
        <w:t>政府投资工程，应当采用工程量清单计价。</w:t>
      </w:r>
      <w:r>
        <w:rPr>
          <w:rFonts w:hint="eastAsia" w:ascii="仿宋_GB2312" w:hAnsi="仿宋_GB2312" w:eastAsia="仿宋_GB2312" w:cs="仿宋_GB2312"/>
          <w:sz w:val="32"/>
          <w:szCs w:val="32"/>
        </w:rPr>
        <w:t>工程参与各方不得相互串通虚构计价扰乱市场秩序。</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黑体" w:hAnsi="黑体" w:eastAsia="黑体" w:cs="黑体"/>
          <w:sz w:val="32"/>
          <w:szCs w:val="32"/>
          <w:bdr w:val="single" w:sz="4" w:space="0"/>
        </w:rPr>
        <w:t xml:space="preserve">第三十条 </w:t>
      </w:r>
      <w:r>
        <w:rPr>
          <w:rFonts w:hint="eastAsia" w:ascii="仿宋_GB2312" w:hAnsi="仿宋_GB2312" w:eastAsia="仿宋_GB2312" w:cs="仿宋_GB2312"/>
          <w:sz w:val="32"/>
          <w:szCs w:val="32"/>
          <w:bdr w:val="single" w:sz="4" w:space="0"/>
        </w:rPr>
        <w:t>建设单位与施工总承包单位依法订立书面工程施工合同，应当约定工程款计量周期、工程款进度结算办法以及人工费用拨付周期，并按照保障农民工工资按时足额支付的要求约定人工费用。人工费用拨付周期不得超过一个月。</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single" w:sz="4" w:space="0"/>
        </w:rPr>
        <w:t>建设单位应当按照合同约定及时支付工程款，并将人工费用及时足额拨付至农民工工资专用账户，专项用于支付该工程建设项目劳务人员工资。</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黑体" w:hAnsi="黑体" w:eastAsia="黑体" w:cs="黑体"/>
          <w:sz w:val="32"/>
          <w:szCs w:val="32"/>
        </w:rPr>
        <w:t xml:space="preserve">第三十一条 </w:t>
      </w:r>
      <w:r>
        <w:rPr>
          <w:rFonts w:hint="eastAsia" w:ascii="仿宋_GB2312" w:hAnsi="仿宋_GB2312" w:eastAsia="仿宋_GB2312" w:cs="仿宋_GB2312"/>
          <w:sz w:val="32"/>
          <w:szCs w:val="32"/>
        </w:rPr>
        <w:t>当年开工、当年不能竣工的新开工项目可以推行过程结算。发承包双方通过合同约定，将施工过程按时间或进度节点划分施工周期，对周期内已完成且无争议的工程量（含变更、签证、索赔等）进行价款计算、确认和支付，支付金额不得超出已完工部分对应的批复概（预）算。经双方确认的过程结算文件作为竣工结算文件的组成部分，竣工后原则上不再重复审核。</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eastAsia="zh-CN"/>
        </w:rPr>
      </w:pPr>
      <w:r>
        <w:rPr>
          <w:rFonts w:hint="eastAsia" w:ascii="黑体" w:hAnsi="黑体" w:eastAsia="黑体" w:cs="黑体"/>
          <w:sz w:val="32"/>
          <w:szCs w:val="32"/>
          <w:lang w:eastAsia="zh-CN"/>
        </w:rPr>
        <w:t>第</w:t>
      </w:r>
      <w:r>
        <w:rPr>
          <w:rFonts w:hint="eastAsia" w:ascii="黑体" w:hAnsi="黑体" w:eastAsia="黑体" w:cs="黑体"/>
          <w:sz w:val="32"/>
          <w:szCs w:val="32"/>
          <w:lang w:val="en-US" w:eastAsia="zh-CN"/>
        </w:rPr>
        <w:t xml:space="preserve">三十二条 </w:t>
      </w:r>
      <w:r>
        <w:rPr>
          <w:rFonts w:hint="eastAsia" w:ascii="黑体" w:hAnsi="黑体" w:eastAsia="黑体" w:cs="黑体"/>
          <w:sz w:val="32"/>
          <w:szCs w:val="32"/>
          <w:lang w:eastAsia="zh-CN"/>
        </w:rPr>
        <w:t>财政部门接到政府投资工程竣工结算审查申请后，应当在国家规定的期限内进行审查，并出具审查意见。确需增加投资概算、预算调整或者调剂的，按照国家有关规定执行。</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single" w:sz="4" w:space="0"/>
        </w:rPr>
        <w:t>政府投资项目竣工结算审查按国家有关规定执行。</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黑体" w:hAnsi="黑体" w:eastAsia="黑体" w:cs="黑体"/>
          <w:sz w:val="32"/>
          <w:szCs w:val="32"/>
        </w:rPr>
        <w:t>第</w:t>
      </w:r>
      <w:r>
        <w:rPr>
          <w:rFonts w:hint="eastAsia" w:ascii="黑体" w:hAnsi="黑体" w:eastAsia="黑体" w:cs="黑体"/>
          <w:sz w:val="32"/>
          <w:szCs w:val="32"/>
          <w:bdr w:val="single" w:sz="4" w:space="0"/>
        </w:rPr>
        <w:t>三十二</w:t>
      </w:r>
      <w:r>
        <w:rPr>
          <w:rFonts w:hint="eastAsia" w:ascii="黑体" w:hAnsi="黑体" w:eastAsia="黑体" w:cs="黑体"/>
          <w:sz w:val="32"/>
          <w:szCs w:val="32"/>
          <w:lang w:eastAsia="zh-CN"/>
        </w:rPr>
        <w:t>三十三</w:t>
      </w:r>
      <w:r>
        <w:rPr>
          <w:rFonts w:hint="eastAsia" w:ascii="黑体" w:hAnsi="黑体" w:eastAsia="黑体" w:cs="黑体"/>
          <w:sz w:val="32"/>
          <w:szCs w:val="32"/>
        </w:rPr>
        <w:t xml:space="preserve">条 </w:t>
      </w:r>
      <w:r>
        <w:rPr>
          <w:rFonts w:hint="eastAsia" w:ascii="仿宋_GB2312" w:hAnsi="仿宋_GB2312" w:eastAsia="仿宋_GB2312" w:cs="仿宋_GB2312"/>
          <w:sz w:val="32"/>
          <w:szCs w:val="32"/>
        </w:rPr>
        <w:t>建设单位收到竣工报告后，应当依法组织勘察、设计、施工、监理等有关单位进行竣工验收。工程经验收合格后方可交付使用。</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自竣工验收合格之日起十五日内，建设单位应当向</w:t>
      </w:r>
      <w:r>
        <w:rPr>
          <w:rFonts w:hint="eastAsia" w:ascii="黑体" w:hAnsi="黑体" w:eastAsia="黑体" w:cs="黑体"/>
          <w:sz w:val="32"/>
          <w:szCs w:val="32"/>
          <w:lang w:eastAsia="zh-CN"/>
        </w:rPr>
        <w:t>工程所在地的县级以上人民政府</w:t>
      </w:r>
      <w:r>
        <w:rPr>
          <w:rFonts w:hint="eastAsia" w:ascii="仿宋_GB2312" w:hAnsi="仿宋_GB2312" w:eastAsia="仿宋_GB2312" w:cs="仿宋_GB2312"/>
          <w:sz w:val="32"/>
          <w:szCs w:val="32"/>
        </w:rPr>
        <w:t>住房和城乡建设主管部门备案。</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黑体" w:hAnsi="黑体" w:eastAsia="黑体" w:cs="黑体"/>
          <w:sz w:val="32"/>
          <w:szCs w:val="32"/>
        </w:rPr>
        <w:t>第</w:t>
      </w:r>
      <w:r>
        <w:rPr>
          <w:rFonts w:hint="eastAsia" w:ascii="黑体" w:hAnsi="黑体" w:eastAsia="黑体" w:cs="黑体"/>
          <w:sz w:val="32"/>
          <w:szCs w:val="32"/>
          <w:bdr w:val="single" w:sz="4" w:space="0"/>
        </w:rPr>
        <w:t>三十三</w:t>
      </w:r>
      <w:r>
        <w:rPr>
          <w:rFonts w:hint="eastAsia" w:ascii="黑体" w:hAnsi="黑体" w:eastAsia="黑体" w:cs="黑体"/>
          <w:sz w:val="32"/>
          <w:szCs w:val="32"/>
          <w:lang w:eastAsia="zh-CN"/>
        </w:rPr>
        <w:t>三十四</w:t>
      </w:r>
      <w:r>
        <w:rPr>
          <w:rFonts w:hint="eastAsia" w:ascii="黑体" w:hAnsi="黑体" w:eastAsia="黑体" w:cs="黑体"/>
          <w:sz w:val="32"/>
          <w:szCs w:val="32"/>
        </w:rPr>
        <w:t xml:space="preserve">条 </w:t>
      </w:r>
      <w:r>
        <w:rPr>
          <w:rFonts w:hint="eastAsia" w:ascii="仿宋_GB2312" w:hAnsi="仿宋_GB2312" w:eastAsia="仿宋_GB2312" w:cs="仿宋_GB2312"/>
          <w:sz w:val="32"/>
          <w:szCs w:val="32"/>
        </w:rPr>
        <w:t>建设单位应当严格按照国家有关档案管理的规定，及时收集、整理工程项目各环节的文件资料，建立、健全工程档案。</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施工单位应当按照国家有关规定编制竣工图。建设单位应当督促勘察、设计、施工、监理等单位及时完成工程文件资料归档工作，定期查验工程文件资料的归集情况。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竣工验收时，建设单位应当查验工程档案的完整性</w:t>
      </w:r>
      <w:r>
        <w:rPr>
          <w:rFonts w:hint="eastAsia" w:ascii="仿宋_GB2312" w:hAnsi="仿宋_GB2312" w:eastAsia="仿宋_GB2312" w:cs="仿宋_GB2312"/>
          <w:sz w:val="32"/>
          <w:szCs w:val="32"/>
          <w:bdr w:val="single" w:sz="4" w:space="0"/>
        </w:rPr>
        <w:t>、齐全性</w:t>
      </w:r>
      <w:r>
        <w:rPr>
          <w:rFonts w:hint="eastAsia" w:ascii="仿宋_GB2312" w:hAnsi="仿宋_GB2312" w:eastAsia="仿宋_GB2312" w:cs="仿宋_GB2312"/>
          <w:sz w:val="32"/>
          <w:szCs w:val="32"/>
        </w:rPr>
        <w:t>和真实性，不符合验收要求的应当及时整改，并按照国家有关规定将工程档案及时移交城建档案管理机构。</w:t>
      </w:r>
    </w:p>
    <w:p>
      <w:pPr>
        <w:keepNext w:val="0"/>
        <w:keepLines w:val="0"/>
        <w:pageBreakBefore w:val="0"/>
        <w:widowControl w:val="0"/>
        <w:kinsoku/>
        <w:wordWrap/>
        <w:overflowPunct/>
        <w:topLinePunct w:val="0"/>
        <w:autoSpaceDE/>
        <w:autoSpaceDN/>
        <w:bidi w:val="0"/>
        <w:adjustRightInd/>
        <w:snapToGrid/>
        <w:spacing w:before="157" w:beforeLines="50" w:after="157" w:afterLines="50"/>
        <w:jc w:val="center"/>
        <w:textAlignment w:val="auto"/>
        <w:rPr>
          <w:rFonts w:hint="eastAsia" w:ascii="黑体" w:hAnsi="黑体" w:eastAsia="黑体" w:cs="黑体"/>
          <w:sz w:val="32"/>
          <w:szCs w:val="32"/>
        </w:rPr>
      </w:pPr>
    </w:p>
    <w:p>
      <w:pPr>
        <w:keepNext w:val="0"/>
        <w:keepLines w:val="0"/>
        <w:pageBreakBefore w:val="0"/>
        <w:widowControl w:val="0"/>
        <w:kinsoku/>
        <w:wordWrap/>
        <w:overflowPunct/>
        <w:topLinePunct w:val="0"/>
        <w:autoSpaceDE/>
        <w:autoSpaceDN/>
        <w:bidi w:val="0"/>
        <w:adjustRightInd/>
        <w:snapToGrid/>
        <w:spacing w:before="157" w:beforeLines="50" w:after="157" w:afterLines="50"/>
        <w:jc w:val="center"/>
        <w:textAlignment w:val="auto"/>
        <w:rPr>
          <w:rFonts w:hint="eastAsia" w:ascii="黑体" w:hAnsi="黑体" w:eastAsia="黑体" w:cs="黑体"/>
          <w:sz w:val="32"/>
          <w:szCs w:val="32"/>
        </w:rPr>
      </w:pPr>
      <w:r>
        <w:rPr>
          <w:rFonts w:hint="eastAsia" w:ascii="黑体" w:hAnsi="黑体" w:eastAsia="黑体" w:cs="黑体"/>
          <w:sz w:val="32"/>
          <w:szCs w:val="32"/>
        </w:rPr>
        <w:t>第五章 监督管理</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rPr>
      </w:pP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黑体" w:hAnsi="黑体" w:eastAsia="黑体" w:cs="黑体"/>
          <w:sz w:val="32"/>
          <w:szCs w:val="32"/>
        </w:rPr>
        <w:t>第</w:t>
      </w:r>
      <w:r>
        <w:rPr>
          <w:rFonts w:hint="eastAsia" w:ascii="黑体" w:hAnsi="黑体" w:eastAsia="黑体" w:cs="黑体"/>
          <w:sz w:val="32"/>
          <w:szCs w:val="32"/>
          <w:bdr w:val="single" w:sz="4" w:space="0"/>
        </w:rPr>
        <w:t>三十四</w:t>
      </w:r>
      <w:r>
        <w:rPr>
          <w:rFonts w:hint="eastAsia" w:ascii="黑体" w:hAnsi="黑体" w:eastAsia="黑体" w:cs="黑体"/>
          <w:sz w:val="32"/>
          <w:szCs w:val="32"/>
          <w:lang w:eastAsia="zh-CN"/>
        </w:rPr>
        <w:t>三十五</w:t>
      </w:r>
      <w:r>
        <w:rPr>
          <w:rFonts w:hint="eastAsia" w:ascii="黑体" w:hAnsi="黑体" w:eastAsia="黑体" w:cs="黑体"/>
          <w:sz w:val="32"/>
          <w:szCs w:val="32"/>
        </w:rPr>
        <w:t xml:space="preserve">条 </w:t>
      </w:r>
      <w:r>
        <w:rPr>
          <w:rFonts w:hint="eastAsia" w:ascii="仿宋_GB2312" w:hAnsi="仿宋_GB2312" w:eastAsia="仿宋_GB2312" w:cs="仿宋_GB2312"/>
          <w:sz w:val="32"/>
          <w:szCs w:val="32"/>
        </w:rPr>
        <w:t>省人民政府住房和城乡建设主管部门和其他有关部门应当推进建筑市场信用体系建设，健全完善建筑市场信用信息数据库，在省建筑市场监管公共服务平台记载建筑市场活动中各单位和注册执业人员的信用信息</w:t>
      </w:r>
      <w:r>
        <w:rPr>
          <w:rFonts w:hint="eastAsia" w:ascii="黑体" w:hAnsi="黑体" w:eastAsia="黑体" w:cs="黑体"/>
          <w:sz w:val="32"/>
          <w:szCs w:val="32"/>
          <w:lang w:eastAsia="zh-CN"/>
        </w:rPr>
        <w:t>，并依法向社会公布</w:t>
      </w:r>
      <w:r>
        <w:rPr>
          <w:rFonts w:hint="eastAsia" w:ascii="仿宋_GB2312" w:hAnsi="仿宋_GB2312" w:eastAsia="仿宋_GB2312" w:cs="仿宋_GB2312"/>
          <w:sz w:val="32"/>
          <w:szCs w:val="32"/>
        </w:rPr>
        <w:t>。根据建筑市场活动中各方主体的信用状况实行分类管理，对失信单位和个人加强监管，对信用良好的单位和个人给予褒扬和激励。</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黑体" w:hAnsi="黑体" w:eastAsia="黑体" w:cs="黑体"/>
          <w:sz w:val="32"/>
          <w:szCs w:val="32"/>
        </w:rPr>
        <w:t>第</w:t>
      </w:r>
      <w:r>
        <w:rPr>
          <w:rFonts w:hint="eastAsia" w:ascii="黑体" w:hAnsi="黑体" w:eastAsia="黑体" w:cs="黑体"/>
          <w:sz w:val="32"/>
          <w:szCs w:val="32"/>
          <w:bdr w:val="single" w:sz="4" w:space="0"/>
        </w:rPr>
        <w:t>三十五</w:t>
      </w:r>
      <w:r>
        <w:rPr>
          <w:rFonts w:hint="eastAsia" w:ascii="黑体" w:hAnsi="黑体" w:eastAsia="黑体" w:cs="黑体"/>
          <w:sz w:val="32"/>
          <w:szCs w:val="32"/>
          <w:lang w:eastAsia="zh-CN"/>
        </w:rPr>
        <w:t>三十六</w:t>
      </w:r>
      <w:r>
        <w:rPr>
          <w:rFonts w:hint="eastAsia" w:ascii="黑体" w:hAnsi="黑体" w:eastAsia="黑体" w:cs="黑体"/>
          <w:sz w:val="32"/>
          <w:szCs w:val="32"/>
        </w:rPr>
        <w:t xml:space="preserve">条 </w:t>
      </w:r>
      <w:r>
        <w:rPr>
          <w:rFonts w:hint="eastAsia" w:ascii="仿宋_GB2312" w:hAnsi="仿宋_GB2312" w:eastAsia="仿宋_GB2312" w:cs="仿宋_GB2312"/>
          <w:sz w:val="32"/>
          <w:szCs w:val="32"/>
        </w:rPr>
        <w:t>政府投资建设工程的建设单位应当在招标投标活动中使用建筑市场信用信息。鼓励其他主体在建筑市场活动中使用建筑市场信用信息。</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黑体" w:hAnsi="黑体" w:eastAsia="黑体" w:cs="黑体"/>
          <w:sz w:val="32"/>
          <w:szCs w:val="32"/>
        </w:rPr>
        <w:t>第</w:t>
      </w:r>
      <w:r>
        <w:rPr>
          <w:rFonts w:hint="eastAsia" w:ascii="黑体" w:hAnsi="黑体" w:eastAsia="黑体" w:cs="黑体"/>
          <w:sz w:val="32"/>
          <w:szCs w:val="32"/>
          <w:bdr w:val="single" w:sz="4" w:space="0"/>
        </w:rPr>
        <w:t>三十六</w:t>
      </w:r>
      <w:r>
        <w:rPr>
          <w:rFonts w:hint="eastAsia" w:ascii="黑体" w:hAnsi="黑体" w:eastAsia="黑体" w:cs="黑体"/>
          <w:sz w:val="32"/>
          <w:szCs w:val="32"/>
          <w:lang w:eastAsia="zh-CN"/>
        </w:rPr>
        <w:t>三十七</w:t>
      </w:r>
      <w:r>
        <w:rPr>
          <w:rFonts w:hint="eastAsia" w:ascii="黑体" w:hAnsi="黑体" w:eastAsia="黑体" w:cs="黑体"/>
          <w:sz w:val="32"/>
          <w:szCs w:val="32"/>
        </w:rPr>
        <w:t xml:space="preserve">条 </w:t>
      </w:r>
      <w:r>
        <w:rPr>
          <w:rFonts w:hint="eastAsia" w:ascii="仿宋_GB2312" w:hAnsi="仿宋_GB2312" w:eastAsia="仿宋_GB2312" w:cs="仿宋_GB2312"/>
          <w:sz w:val="32"/>
          <w:szCs w:val="32"/>
        </w:rPr>
        <w:t>县级以上人民政府住房和城乡建设主管部门应当建立健全建筑市场活动的监督检查制度，履行监督检查职责，依法查处建筑市场活动中的违法违规行为，并</w:t>
      </w:r>
      <w:r>
        <w:rPr>
          <w:rFonts w:hint="eastAsia" w:ascii="仿宋_GB2312" w:hAnsi="仿宋_GB2312" w:eastAsia="仿宋_GB2312" w:cs="仿宋_GB2312"/>
          <w:sz w:val="32"/>
          <w:szCs w:val="32"/>
          <w:bdr w:val="single" w:sz="4" w:space="0"/>
        </w:rPr>
        <w:t>将监督检查情况</w:t>
      </w:r>
      <w:r>
        <w:rPr>
          <w:rFonts w:hint="eastAsia" w:ascii="仿宋_GB2312" w:hAnsi="仿宋_GB2312" w:eastAsia="仿宋_GB2312" w:cs="仿宋_GB2312"/>
          <w:sz w:val="32"/>
          <w:szCs w:val="32"/>
        </w:rPr>
        <w:t>向社会公布。</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lang w:eastAsia="zh-CN"/>
        </w:rPr>
        <w:t>县级以上人民政府住房和城乡建设主管部门应当设立并公开投诉、举报电话和电子邮箱，及时受理和处理关于建筑市场活动方面的投诉、举报。</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黑体" w:hAnsi="黑体" w:eastAsia="黑体" w:cs="黑体"/>
          <w:sz w:val="32"/>
          <w:szCs w:val="32"/>
        </w:rPr>
        <w:t>第</w:t>
      </w:r>
      <w:r>
        <w:rPr>
          <w:rFonts w:hint="eastAsia" w:ascii="黑体" w:hAnsi="黑体" w:eastAsia="黑体" w:cs="黑体"/>
          <w:sz w:val="32"/>
          <w:szCs w:val="32"/>
          <w:bdr w:val="single" w:sz="4" w:space="0"/>
        </w:rPr>
        <w:t>三十七</w:t>
      </w:r>
      <w:r>
        <w:rPr>
          <w:rFonts w:hint="eastAsia" w:ascii="黑体" w:hAnsi="黑体" w:eastAsia="黑体" w:cs="黑体"/>
          <w:sz w:val="32"/>
          <w:szCs w:val="32"/>
          <w:lang w:eastAsia="zh-CN"/>
        </w:rPr>
        <w:t>三十八</w:t>
      </w:r>
      <w:r>
        <w:rPr>
          <w:rFonts w:hint="eastAsia" w:ascii="黑体" w:hAnsi="黑体" w:eastAsia="黑体" w:cs="黑体"/>
          <w:sz w:val="32"/>
          <w:szCs w:val="32"/>
        </w:rPr>
        <w:t xml:space="preserve">条 </w:t>
      </w:r>
      <w:r>
        <w:rPr>
          <w:rFonts w:hint="eastAsia" w:ascii="仿宋_GB2312" w:hAnsi="仿宋_GB2312" w:eastAsia="仿宋_GB2312" w:cs="仿宋_GB2312"/>
          <w:sz w:val="32"/>
          <w:szCs w:val="32"/>
        </w:rPr>
        <w:t>乡镇人民政府、街道办事处以及各类园区应当明确本行政区域或者管理区域负责建筑工程施工安全监管工作的机构及其职责，协助人民政府住房和城乡建设</w:t>
      </w:r>
      <w:r>
        <w:rPr>
          <w:rFonts w:hint="eastAsia" w:ascii="仿宋_GB2312" w:hAnsi="仿宋_GB2312" w:eastAsia="仿宋_GB2312" w:cs="仿宋_GB2312"/>
          <w:sz w:val="32"/>
          <w:szCs w:val="32"/>
          <w:lang w:eastAsia="zh-CN"/>
        </w:rPr>
        <w:t>主管</w:t>
      </w:r>
      <w:r>
        <w:rPr>
          <w:rFonts w:hint="eastAsia" w:ascii="仿宋_GB2312" w:hAnsi="仿宋_GB2312" w:eastAsia="仿宋_GB2312" w:cs="仿宋_GB2312"/>
          <w:sz w:val="32"/>
          <w:szCs w:val="32"/>
        </w:rPr>
        <w:t>部门或者按照授权依法履行施工安全监督管理职责。</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村民委员会、居民委员会发现其所在区域内存在未依法办理施工许可擅自施工等安全生产违法行为，或者施工活动中可能存在事故隐患的，应当向当地人民政府或者有关部门报告。</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黑体" w:hAnsi="黑体" w:eastAsia="黑体" w:cs="黑体"/>
          <w:sz w:val="32"/>
          <w:szCs w:val="32"/>
        </w:rPr>
        <w:t>第</w:t>
      </w:r>
      <w:r>
        <w:rPr>
          <w:rFonts w:hint="eastAsia" w:ascii="黑体" w:hAnsi="黑体" w:eastAsia="黑体" w:cs="黑体"/>
          <w:sz w:val="32"/>
          <w:szCs w:val="32"/>
          <w:bdr w:val="single" w:sz="4" w:space="0"/>
        </w:rPr>
        <w:t>三十八</w:t>
      </w:r>
      <w:r>
        <w:rPr>
          <w:rFonts w:hint="eastAsia" w:ascii="黑体" w:hAnsi="黑体" w:eastAsia="黑体" w:cs="黑体"/>
          <w:sz w:val="32"/>
          <w:szCs w:val="32"/>
          <w:lang w:eastAsia="zh-CN"/>
        </w:rPr>
        <w:t>三十九</w:t>
      </w:r>
      <w:r>
        <w:rPr>
          <w:rFonts w:hint="eastAsia" w:ascii="黑体" w:hAnsi="黑体" w:eastAsia="黑体" w:cs="黑体"/>
          <w:sz w:val="32"/>
          <w:szCs w:val="32"/>
        </w:rPr>
        <w:t xml:space="preserve">条 </w:t>
      </w:r>
      <w:r>
        <w:rPr>
          <w:rFonts w:hint="eastAsia" w:ascii="仿宋_GB2312" w:hAnsi="仿宋_GB2312" w:eastAsia="仿宋_GB2312" w:cs="仿宋_GB2312"/>
          <w:sz w:val="32"/>
          <w:szCs w:val="32"/>
        </w:rPr>
        <w:t>未依法办理用地批准手续，或者未依法办理建设工程规划许可证的，由县级以上人民政府自然资源主管部门负责查处；已依法办理用地批准手续以及建设工程规划许可证，未取得工程施工许可证擅自开工建设的，由县级以上人民政府住房和城乡建设主管部门或者有关部门负责查处。</w:t>
      </w:r>
    </w:p>
    <w:p>
      <w:pPr>
        <w:keepNext w:val="0"/>
        <w:keepLines w:val="0"/>
        <w:pageBreakBefore w:val="0"/>
        <w:widowControl w:val="0"/>
        <w:kinsoku/>
        <w:wordWrap/>
        <w:overflowPunct/>
        <w:topLinePunct w:val="0"/>
        <w:autoSpaceDE/>
        <w:autoSpaceDN/>
        <w:bidi w:val="0"/>
        <w:adjustRightInd/>
        <w:snapToGrid/>
        <w:spacing w:before="157" w:beforeLines="50" w:after="157" w:afterLines="50"/>
        <w:jc w:val="center"/>
        <w:textAlignment w:val="auto"/>
        <w:rPr>
          <w:rFonts w:hint="eastAsia" w:ascii="黑体" w:hAnsi="黑体" w:eastAsia="黑体" w:cs="黑体"/>
          <w:sz w:val="32"/>
          <w:szCs w:val="32"/>
        </w:rPr>
      </w:pPr>
    </w:p>
    <w:p>
      <w:pPr>
        <w:keepNext w:val="0"/>
        <w:keepLines w:val="0"/>
        <w:pageBreakBefore w:val="0"/>
        <w:widowControl w:val="0"/>
        <w:kinsoku/>
        <w:wordWrap/>
        <w:overflowPunct/>
        <w:topLinePunct w:val="0"/>
        <w:autoSpaceDE/>
        <w:autoSpaceDN/>
        <w:bidi w:val="0"/>
        <w:adjustRightInd/>
        <w:snapToGrid/>
        <w:spacing w:before="157" w:beforeLines="50" w:after="157" w:afterLines="50"/>
        <w:jc w:val="center"/>
        <w:textAlignment w:val="auto"/>
        <w:rPr>
          <w:rFonts w:hint="eastAsia" w:ascii="黑体" w:hAnsi="黑体" w:eastAsia="黑体" w:cs="黑体"/>
          <w:sz w:val="32"/>
          <w:szCs w:val="32"/>
        </w:rPr>
      </w:pPr>
      <w:r>
        <w:rPr>
          <w:rFonts w:hint="eastAsia" w:ascii="黑体" w:hAnsi="黑体" w:eastAsia="黑体" w:cs="黑体"/>
          <w:sz w:val="32"/>
          <w:szCs w:val="32"/>
        </w:rPr>
        <w:t>第六章 法律责任</w:t>
      </w:r>
    </w:p>
    <w:p>
      <w:pPr>
        <w:rPr>
          <w:rFonts w:hint="eastAsia" w:ascii="仿宋_GB2312" w:hAnsi="仿宋_GB2312" w:eastAsia="仿宋_GB2312" w:cs="仿宋_GB2312"/>
          <w:sz w:val="32"/>
          <w:szCs w:val="32"/>
          <w:lang w:eastAsia="zh-CN"/>
        </w:rPr>
      </w:pP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黑体" w:hAnsi="黑体" w:eastAsia="黑体" w:cs="黑体"/>
          <w:sz w:val="32"/>
          <w:szCs w:val="32"/>
        </w:rPr>
        <w:t>第</w:t>
      </w:r>
      <w:r>
        <w:rPr>
          <w:rFonts w:hint="eastAsia" w:ascii="黑体" w:hAnsi="黑体" w:eastAsia="黑体" w:cs="黑体"/>
          <w:sz w:val="32"/>
          <w:szCs w:val="32"/>
          <w:bdr w:val="single" w:sz="4" w:space="0"/>
        </w:rPr>
        <w:t>三十九</w:t>
      </w:r>
      <w:r>
        <w:rPr>
          <w:rFonts w:hint="eastAsia" w:ascii="黑体" w:hAnsi="黑体" w:eastAsia="黑体" w:cs="黑体"/>
          <w:sz w:val="32"/>
          <w:szCs w:val="32"/>
          <w:lang w:eastAsia="zh-CN"/>
        </w:rPr>
        <w:t>四十</w:t>
      </w:r>
      <w:r>
        <w:rPr>
          <w:rFonts w:hint="eastAsia" w:ascii="黑体" w:hAnsi="黑体" w:eastAsia="黑体" w:cs="黑体"/>
          <w:sz w:val="32"/>
          <w:szCs w:val="32"/>
        </w:rPr>
        <w:t xml:space="preserve">条 </w:t>
      </w:r>
      <w:r>
        <w:rPr>
          <w:rFonts w:hint="eastAsia" w:ascii="仿宋_GB2312" w:hAnsi="仿宋_GB2312" w:eastAsia="仿宋_GB2312" w:cs="仿宋_GB2312"/>
          <w:sz w:val="32"/>
          <w:szCs w:val="32"/>
        </w:rPr>
        <w:t>违反本条例第十一条规定，承包单位将承包的工程转包或者违法分包的，由县级以上人民政府住房和城乡建设主管部门责令改正，没收违法所得，对勘察、设计单位处合同约定的勘察费、设计费百分之二十五以上百分之五十以下的罚款；对施工单位处工程合同价款百分之零点五以上百分之一以下的罚款；可以责令停业整顿，降低资质等级；情节严重的，吊销资质证书。</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bdr w:val="single" w:sz="4" w:space="0"/>
        </w:rPr>
      </w:pPr>
      <w:r>
        <w:rPr>
          <w:rFonts w:hint="eastAsia" w:ascii="仿宋_GB2312" w:hAnsi="仿宋_GB2312" w:eastAsia="仿宋_GB2312" w:cs="仿宋_GB2312"/>
          <w:sz w:val="32"/>
          <w:szCs w:val="32"/>
          <w:bdr w:val="single" w:sz="4" w:space="0"/>
        </w:rPr>
        <w:t>工程监理单位转让工程监理业务的，由县级以上人民政府住房和城乡建设主管部门责令改正，没收违法所得，处合同约定的监理酬金百分之二十五以上百分之五十以下的罚款；可以责令停业整顿，降低资质等级；情节严重的，吊销资质证书。</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黑体" w:hAnsi="黑体" w:eastAsia="黑体" w:cs="黑体"/>
          <w:sz w:val="32"/>
          <w:szCs w:val="32"/>
        </w:rPr>
        <w:t>第</w:t>
      </w:r>
      <w:r>
        <w:rPr>
          <w:rFonts w:hint="eastAsia" w:ascii="黑体" w:hAnsi="黑体" w:eastAsia="黑体" w:cs="黑体"/>
          <w:sz w:val="32"/>
          <w:szCs w:val="32"/>
          <w:bdr w:val="single" w:sz="4" w:space="0"/>
        </w:rPr>
        <w:t>四十</w:t>
      </w:r>
      <w:r>
        <w:rPr>
          <w:rFonts w:hint="eastAsia" w:ascii="黑体" w:hAnsi="黑体" w:eastAsia="黑体" w:cs="黑体"/>
          <w:sz w:val="32"/>
          <w:szCs w:val="32"/>
          <w:lang w:eastAsia="zh-CN"/>
        </w:rPr>
        <w:t>四十一</w:t>
      </w:r>
      <w:r>
        <w:rPr>
          <w:rFonts w:hint="eastAsia" w:ascii="黑体" w:hAnsi="黑体" w:eastAsia="黑体" w:cs="黑体"/>
          <w:sz w:val="32"/>
          <w:szCs w:val="32"/>
        </w:rPr>
        <w:t xml:space="preserve">条 </w:t>
      </w:r>
      <w:r>
        <w:rPr>
          <w:rFonts w:hint="eastAsia" w:ascii="仿宋_GB2312" w:hAnsi="仿宋_GB2312" w:eastAsia="仿宋_GB2312" w:cs="仿宋_GB2312"/>
          <w:sz w:val="32"/>
          <w:szCs w:val="32"/>
        </w:rPr>
        <w:t>违反本条例第</w:t>
      </w:r>
      <w:r>
        <w:rPr>
          <w:rFonts w:hint="eastAsia" w:ascii="仿宋_GB2312" w:hAnsi="仿宋_GB2312" w:eastAsia="仿宋_GB2312" w:cs="仿宋_GB2312"/>
          <w:sz w:val="32"/>
          <w:szCs w:val="32"/>
          <w:bdr w:val="single" w:sz="4" w:space="0"/>
        </w:rPr>
        <w:t>十九</w:t>
      </w:r>
      <w:r>
        <w:rPr>
          <w:rFonts w:hint="eastAsia" w:ascii="黑体" w:hAnsi="黑体" w:eastAsia="黑体" w:cs="黑体"/>
          <w:sz w:val="32"/>
          <w:szCs w:val="32"/>
          <w:lang w:eastAsia="zh-CN"/>
        </w:rPr>
        <w:t>二十</w:t>
      </w:r>
      <w:r>
        <w:rPr>
          <w:rFonts w:hint="eastAsia" w:ascii="仿宋_GB2312" w:hAnsi="仿宋_GB2312" w:eastAsia="仿宋_GB2312" w:cs="仿宋_GB2312"/>
          <w:sz w:val="32"/>
          <w:szCs w:val="32"/>
        </w:rPr>
        <w:t>条第二款规定，施工单位、监理单位擅自更换施工现场配备的施工、监理管理人员，或者更换的施工、监理管理人员不具备同等或者以上资格，由县级以上人民政府住房和城乡建设主管部门责令限期改正；逾期不改正的，处一万元以上三万元以下的罚款。</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黑体" w:hAnsi="黑体" w:eastAsia="黑体" w:cs="黑体"/>
          <w:sz w:val="32"/>
          <w:szCs w:val="32"/>
        </w:rPr>
        <w:t>第</w:t>
      </w:r>
      <w:r>
        <w:rPr>
          <w:rFonts w:hint="eastAsia" w:ascii="黑体" w:hAnsi="黑体" w:eastAsia="黑体" w:cs="黑体"/>
          <w:sz w:val="32"/>
          <w:szCs w:val="32"/>
          <w:bdr w:val="single" w:sz="4" w:space="0"/>
        </w:rPr>
        <w:t>四十一</w:t>
      </w:r>
      <w:r>
        <w:rPr>
          <w:rFonts w:hint="eastAsia" w:ascii="黑体" w:hAnsi="黑体" w:eastAsia="黑体" w:cs="黑体"/>
          <w:sz w:val="32"/>
          <w:szCs w:val="32"/>
          <w:lang w:eastAsia="zh-CN"/>
        </w:rPr>
        <w:t>四十二</w:t>
      </w:r>
      <w:r>
        <w:rPr>
          <w:rFonts w:hint="eastAsia" w:ascii="黑体" w:hAnsi="黑体" w:eastAsia="黑体" w:cs="黑体"/>
          <w:sz w:val="32"/>
          <w:szCs w:val="32"/>
        </w:rPr>
        <w:t xml:space="preserve">条 </w:t>
      </w:r>
      <w:r>
        <w:rPr>
          <w:rFonts w:hint="eastAsia" w:ascii="仿宋_GB2312" w:hAnsi="仿宋_GB2312" w:eastAsia="仿宋_GB2312" w:cs="仿宋_GB2312"/>
          <w:sz w:val="32"/>
          <w:szCs w:val="32"/>
        </w:rPr>
        <w:t>县级以上人民政府及其有关部门工作人员在建筑市场监督管理工作中，滥用职权、玩忽职守、徇私舞弊、弄虚作假的，对直接负责的主管人员和其他直接责任人员依法给予处分</w:t>
      </w:r>
      <w:r>
        <w:rPr>
          <w:rFonts w:hint="eastAsia" w:ascii="仿宋_GB2312" w:hAnsi="仿宋_GB2312" w:eastAsia="仿宋_GB2312" w:cs="仿宋_GB2312"/>
          <w:sz w:val="32"/>
          <w:szCs w:val="32"/>
          <w:bdr w:val="single" w:sz="4" w:space="0"/>
        </w:rPr>
        <w:t>；构成犯罪的，依法追究刑事责任</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spacing w:before="157" w:beforeLines="50" w:after="157" w:afterLines="50"/>
        <w:jc w:val="center"/>
        <w:textAlignment w:val="auto"/>
        <w:rPr>
          <w:rFonts w:hint="eastAsia" w:ascii="黑体" w:hAnsi="黑体" w:eastAsia="黑体" w:cs="黑体"/>
          <w:sz w:val="32"/>
          <w:szCs w:val="32"/>
        </w:rPr>
      </w:pPr>
    </w:p>
    <w:p>
      <w:pPr>
        <w:keepNext w:val="0"/>
        <w:keepLines w:val="0"/>
        <w:pageBreakBefore w:val="0"/>
        <w:widowControl w:val="0"/>
        <w:kinsoku/>
        <w:wordWrap/>
        <w:overflowPunct/>
        <w:topLinePunct w:val="0"/>
        <w:autoSpaceDE/>
        <w:autoSpaceDN/>
        <w:bidi w:val="0"/>
        <w:adjustRightInd/>
        <w:snapToGrid/>
        <w:spacing w:before="157" w:beforeLines="50" w:after="157" w:afterLines="50"/>
        <w:jc w:val="center"/>
        <w:textAlignment w:val="auto"/>
        <w:rPr>
          <w:rFonts w:hint="eastAsia" w:ascii="黑体" w:hAnsi="黑体" w:eastAsia="黑体" w:cs="黑体"/>
          <w:sz w:val="32"/>
          <w:szCs w:val="32"/>
        </w:rPr>
      </w:pPr>
      <w:r>
        <w:rPr>
          <w:rFonts w:hint="eastAsia" w:ascii="黑体" w:hAnsi="黑体" w:eastAsia="黑体" w:cs="黑体"/>
          <w:sz w:val="32"/>
          <w:szCs w:val="32"/>
        </w:rPr>
        <w:t>第七章 附</w:t>
      </w:r>
      <w:r>
        <w:rPr>
          <w:rFonts w:hint="eastAsia" w:ascii="黑体" w:hAnsi="黑体" w:eastAsia="黑体" w:cs="黑体"/>
          <w:sz w:val="32"/>
          <w:szCs w:val="32"/>
          <w:lang w:val="en-US" w:eastAsia="zh-CN"/>
        </w:rPr>
        <w:t xml:space="preserve">  </w:t>
      </w:r>
      <w:r>
        <w:rPr>
          <w:rFonts w:hint="eastAsia" w:ascii="黑体" w:hAnsi="黑体" w:eastAsia="黑体" w:cs="黑体"/>
          <w:sz w:val="32"/>
          <w:szCs w:val="32"/>
        </w:rPr>
        <w:t>则</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rPr>
      </w:pP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黑体" w:hAnsi="黑体" w:eastAsia="黑体" w:cs="黑体"/>
          <w:sz w:val="32"/>
          <w:szCs w:val="32"/>
        </w:rPr>
        <w:t>第</w:t>
      </w:r>
      <w:r>
        <w:rPr>
          <w:rFonts w:hint="eastAsia" w:ascii="黑体" w:hAnsi="黑体" w:eastAsia="黑体" w:cs="黑体"/>
          <w:sz w:val="32"/>
          <w:szCs w:val="32"/>
          <w:bdr w:val="single" w:sz="4" w:space="0"/>
        </w:rPr>
        <w:t>四十二</w:t>
      </w:r>
      <w:r>
        <w:rPr>
          <w:rFonts w:hint="eastAsia" w:ascii="黑体" w:hAnsi="黑体" w:eastAsia="黑体" w:cs="黑体"/>
          <w:sz w:val="32"/>
          <w:szCs w:val="32"/>
          <w:lang w:eastAsia="zh-CN"/>
        </w:rPr>
        <w:t>四十三</w:t>
      </w:r>
      <w:r>
        <w:rPr>
          <w:rFonts w:hint="eastAsia" w:ascii="黑体" w:hAnsi="黑体" w:eastAsia="黑体" w:cs="黑体"/>
          <w:sz w:val="32"/>
          <w:szCs w:val="32"/>
        </w:rPr>
        <w:t xml:space="preserve">条 </w:t>
      </w:r>
      <w:r>
        <w:rPr>
          <w:rFonts w:hint="eastAsia" w:ascii="仿宋_GB2312" w:hAnsi="仿宋_GB2312" w:eastAsia="仿宋_GB2312" w:cs="仿宋_GB2312"/>
          <w:sz w:val="32"/>
          <w:szCs w:val="32"/>
          <w:bdr w:val="single" w:sz="4" w:space="0"/>
        </w:rPr>
        <w:t>本条例所称房屋建筑工程，是指各类房屋建筑及其附属设施和与其配套的线路、管道、设备安装工程以及建筑装饰装修工程。</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single" w:sz="4" w:space="0"/>
        </w:rPr>
        <w:t>本条例所称市政基础设施工程，是指城市道路、桥梁、轨道交通、供水、排水、供气、供暖、环卫、污水处理、垃圾处理、防涝、地下公共设施及其附属设施的土建、管道、设备安装工程。</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本条例所称施工管理人员包括项目经理、技术负责人和施工管理负责人。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本条例所称监理管理人员包括总监理工程师和专业监理工程师。</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bdr w:val="single" w:sz="4" w:space="0"/>
        </w:rPr>
        <w:t>本条例所称建筑工人，包括依法签订劳动合同以及依法订立书面用工协议的建筑工人。</w:t>
      </w:r>
    </w:p>
    <w:p>
      <w:pPr>
        <w:ind w:firstLine="640" w:firstLineChars="200"/>
        <w:rPr>
          <w:rFonts w:hint="eastAsia" w:ascii="Times New Roman" w:hAnsi="Times New Roman" w:eastAsia="黑体" w:cs="黑体"/>
          <w:sz w:val="32"/>
          <w:szCs w:val="32"/>
          <w:lang w:val="en-US" w:eastAsia="zh-CN"/>
        </w:rPr>
      </w:pPr>
      <w:r>
        <w:rPr>
          <w:rFonts w:hint="eastAsia" w:ascii="Times New Roman" w:hAnsi="Times New Roman" w:eastAsia="黑体" w:cs="黑体"/>
          <w:sz w:val="32"/>
          <w:szCs w:val="32"/>
        </w:rPr>
        <w:t>第</w:t>
      </w:r>
      <w:r>
        <w:rPr>
          <w:rFonts w:hint="eastAsia" w:ascii="Times New Roman" w:hAnsi="Times New Roman" w:eastAsia="黑体" w:cs="黑体"/>
          <w:sz w:val="32"/>
          <w:szCs w:val="32"/>
          <w:lang w:val="en-US" w:eastAsia="zh-CN"/>
        </w:rPr>
        <w:t>四十四</w:t>
      </w:r>
      <w:r>
        <w:rPr>
          <w:rFonts w:hint="eastAsia" w:ascii="Times New Roman" w:hAnsi="Times New Roman" w:eastAsia="黑体" w:cs="黑体"/>
          <w:sz w:val="32"/>
          <w:szCs w:val="32"/>
        </w:rPr>
        <w:t>条</w:t>
      </w:r>
      <w:r>
        <w:rPr>
          <w:rFonts w:hint="eastAsia" w:ascii="Times New Roman" w:hAnsi="Times New Roman" w:eastAsia="黑体" w:cs="仿宋_GB2312"/>
          <w:sz w:val="32"/>
          <w:szCs w:val="32"/>
          <w:lang w:val="en-US" w:eastAsia="zh-CN"/>
        </w:rPr>
        <w:t xml:space="preserve"> </w:t>
      </w:r>
      <w:r>
        <w:rPr>
          <w:rFonts w:hint="eastAsia" w:ascii="Times New Roman" w:hAnsi="Times New Roman" w:eastAsia="黑体" w:cs="黑体"/>
          <w:sz w:val="32"/>
          <w:szCs w:val="32"/>
          <w:lang w:val="en-US" w:eastAsia="zh-CN"/>
        </w:rPr>
        <w:t>依法核定作为文物保护的纪念建筑物和古建筑、抢险救灾和其他临时性房屋建筑、农民自建低层住宅、涉及保密、军事等国家规定工程的建筑市场活动，以及</w:t>
      </w:r>
      <w:r>
        <w:rPr>
          <w:rFonts w:hint="eastAsia" w:ascii="黑体" w:hAnsi="黑体" w:eastAsia="黑体" w:cs="黑体"/>
          <w:sz w:val="32"/>
          <w:szCs w:val="32"/>
          <w:lang w:eastAsia="zh-CN"/>
        </w:rPr>
        <w:t>既有住宅室内装饰装修等活动</w:t>
      </w:r>
      <w:r>
        <w:rPr>
          <w:rFonts w:hint="eastAsia" w:ascii="Times New Roman" w:hAnsi="Times New Roman" w:eastAsia="黑体" w:cs="黑体"/>
          <w:sz w:val="32"/>
          <w:szCs w:val="32"/>
          <w:lang w:val="en-US" w:eastAsia="zh-CN"/>
        </w:rPr>
        <w:t>不适用本条例。</w:t>
      </w:r>
    </w:p>
    <w:p>
      <w:pPr>
        <w:widowControl/>
        <w:adjustRightInd/>
        <w:snapToGrid/>
        <w:spacing w:after="0" w:line="300" w:lineRule="atLeast"/>
        <w:ind w:firstLine="640" w:firstLineChars="200"/>
        <w:jc w:val="both"/>
        <w:rPr>
          <w:rFonts w:hint="eastAsia" w:ascii="仿宋_GB2312" w:hAnsi="仿宋_GB2312" w:eastAsia="仿宋_GB2312" w:cs="仿宋_GB2312"/>
          <w:sz w:val="32"/>
          <w:szCs w:val="32"/>
        </w:rPr>
      </w:pPr>
      <w:r>
        <w:rPr>
          <w:rFonts w:hint="eastAsia" w:ascii="黑体" w:hAnsi="黑体" w:eastAsia="黑体" w:cs="黑体"/>
          <w:sz w:val="32"/>
          <w:szCs w:val="32"/>
        </w:rPr>
        <w:t>第</w:t>
      </w:r>
      <w:r>
        <w:rPr>
          <w:rFonts w:hint="eastAsia" w:ascii="黑体" w:hAnsi="黑体" w:eastAsia="黑体" w:cs="黑体"/>
          <w:sz w:val="32"/>
          <w:szCs w:val="32"/>
          <w:bdr w:val="single" w:sz="4" w:space="0"/>
        </w:rPr>
        <w:t>四十三</w:t>
      </w:r>
      <w:r>
        <w:rPr>
          <w:rFonts w:hint="eastAsia" w:ascii="黑体" w:hAnsi="黑体" w:eastAsia="黑体" w:cs="黑体"/>
          <w:sz w:val="32"/>
          <w:szCs w:val="32"/>
          <w:lang w:eastAsia="zh-CN"/>
        </w:rPr>
        <w:t>四十五</w:t>
      </w:r>
      <w:r>
        <w:rPr>
          <w:rFonts w:hint="eastAsia" w:ascii="黑体" w:hAnsi="黑体" w:eastAsia="黑体" w:cs="黑体"/>
          <w:sz w:val="32"/>
          <w:szCs w:val="32"/>
        </w:rPr>
        <w:t xml:space="preserve">条 </w:t>
      </w:r>
      <w:r>
        <w:rPr>
          <w:rFonts w:hint="eastAsia" w:ascii="仿宋_GB2312" w:hAnsi="仿宋_GB2312" w:eastAsia="仿宋_GB2312" w:cs="仿宋_GB2312"/>
          <w:sz w:val="32"/>
          <w:szCs w:val="32"/>
        </w:rPr>
        <w:t>本条例自　</w:t>
      </w:r>
      <w:r>
        <w:rPr>
          <w:rFonts w:hint="eastAsia" w:ascii="仿宋_GB2312" w:hAnsi="仿宋_GB2312" w:eastAsia="仿宋_GB2312" w:cs="仿宋_GB2312"/>
          <w:sz w:val="32"/>
          <w:szCs w:val="32"/>
          <w:lang w:eastAsia="zh-CN"/>
        </w:rPr>
        <w:t>年</w:t>
      </w:r>
      <w:r>
        <w:rPr>
          <w:rFonts w:hint="eastAsia" w:ascii="仿宋_GB2312" w:hAnsi="仿宋_GB2312" w:eastAsia="仿宋_GB2312" w:cs="仿宋_GB2312"/>
          <w:sz w:val="32"/>
          <w:szCs w:val="32"/>
        </w:rPr>
        <w:t>　</w:t>
      </w:r>
      <w:r>
        <w:rPr>
          <w:rFonts w:hint="eastAsia" w:ascii="仿宋_GB2312" w:hAnsi="仿宋_GB2312" w:eastAsia="仿宋_GB2312" w:cs="仿宋_GB2312"/>
          <w:sz w:val="32"/>
          <w:szCs w:val="32"/>
          <w:lang w:eastAsia="zh-CN"/>
        </w:rPr>
        <w:t>月</w:t>
      </w:r>
      <w:r>
        <w:rPr>
          <w:rFonts w:hint="eastAsia" w:ascii="仿宋_GB2312" w:hAnsi="仿宋_GB2312" w:eastAsia="仿宋_GB2312" w:cs="仿宋_GB2312"/>
          <w:sz w:val="32"/>
          <w:szCs w:val="32"/>
        </w:rPr>
        <w:t>　</w:t>
      </w:r>
      <w:r>
        <w:rPr>
          <w:rFonts w:hint="eastAsia" w:ascii="仿宋_GB2312" w:hAnsi="仿宋_GB2312" w:eastAsia="仿宋_GB2312" w:cs="仿宋_GB2312"/>
          <w:sz w:val="32"/>
          <w:szCs w:val="32"/>
          <w:lang w:eastAsia="zh-CN"/>
        </w:rPr>
        <w:t>日</w:t>
      </w:r>
      <w:r>
        <w:rPr>
          <w:rFonts w:hint="eastAsia" w:ascii="仿宋_GB2312" w:hAnsi="仿宋_GB2312" w:eastAsia="仿宋_GB2312" w:cs="仿宋_GB2312"/>
          <w:sz w:val="32"/>
          <w:szCs w:val="32"/>
        </w:rPr>
        <w:t>起施行。</w:t>
      </w:r>
      <w:r>
        <w:rPr>
          <w:rFonts w:hint="eastAsia" w:ascii="黑体" w:hAnsi="黑体" w:eastAsia="黑体" w:cs="黑体"/>
          <w:sz w:val="32"/>
          <w:szCs w:val="32"/>
          <w:lang w:val="en-US" w:eastAsia="zh-CN"/>
        </w:rPr>
        <w:t>1995年12月17日省人大常委会通过的《</w:t>
      </w:r>
      <w:r>
        <w:rPr>
          <w:rFonts w:hint="eastAsia" w:ascii="黑体" w:hAnsi="黑体" w:eastAsia="黑体" w:cs="黑体"/>
          <w:sz w:val="32"/>
          <w:szCs w:val="32"/>
          <w:lang w:val="en-US" w:eastAsia="zh-CN"/>
        </w:rPr>
        <w:fldChar w:fldCharType="begin"/>
      </w:r>
      <w:r>
        <w:rPr>
          <w:rFonts w:hint="eastAsia" w:ascii="黑体" w:hAnsi="黑体" w:eastAsia="黑体" w:cs="黑体"/>
          <w:sz w:val="32"/>
          <w:szCs w:val="32"/>
          <w:lang w:val="en-US" w:eastAsia="zh-CN"/>
        </w:rPr>
        <w:instrText xml:space="preserve"> HYPERLINK "http://law.npc.gov.cn:80/FLFG/flfgByID.action?txtid=69&amp;flfgID=50566&amp;showDetailType=QW" </w:instrText>
      </w:r>
      <w:r>
        <w:rPr>
          <w:rFonts w:hint="eastAsia" w:ascii="黑体" w:hAnsi="黑体" w:eastAsia="黑体" w:cs="黑体"/>
          <w:sz w:val="32"/>
          <w:szCs w:val="32"/>
          <w:lang w:val="en-US" w:eastAsia="zh-CN"/>
        </w:rPr>
        <w:fldChar w:fldCharType="separate"/>
      </w:r>
      <w:r>
        <w:rPr>
          <w:rFonts w:hint="eastAsia" w:ascii="黑体" w:hAnsi="黑体" w:eastAsia="黑体" w:cs="黑体"/>
          <w:sz w:val="32"/>
          <w:szCs w:val="32"/>
          <w:lang w:val="en-US" w:eastAsia="zh-CN"/>
        </w:rPr>
        <w:t>吉林省建筑市场管理条例</w:t>
      </w:r>
      <w:r>
        <w:rPr>
          <w:rFonts w:hint="eastAsia" w:ascii="黑体" w:hAnsi="黑体" w:eastAsia="黑体" w:cs="黑体"/>
          <w:sz w:val="32"/>
          <w:szCs w:val="32"/>
          <w:lang w:val="en-US" w:eastAsia="zh-CN"/>
        </w:rPr>
        <w:fldChar w:fldCharType="end"/>
      </w:r>
      <w:r>
        <w:rPr>
          <w:rFonts w:hint="eastAsia" w:ascii="黑体" w:hAnsi="黑体" w:eastAsia="黑体" w:cs="黑体"/>
          <w:sz w:val="32"/>
          <w:szCs w:val="32"/>
          <w:lang w:val="en-US" w:eastAsia="zh-CN"/>
        </w:rPr>
        <w:t>》同时废止。</w:t>
      </w:r>
      <w:bookmarkStart w:id="0" w:name="_GoBack"/>
      <w:bookmarkEnd w:id="0"/>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p>
    <w:p>
      <w:pPr>
        <w:keepNext w:val="0"/>
        <w:keepLines w:val="0"/>
        <w:widowControl w:val="0"/>
        <w:suppressLineNumbers w:val="0"/>
        <w:autoSpaceDE w:val="0"/>
        <w:autoSpaceDN/>
        <w:spacing w:before="0" w:beforeLines="0" w:beforeAutospacing="0" w:after="0" w:afterLines="0" w:afterAutospacing="0" w:line="560" w:lineRule="exact"/>
        <w:ind w:left="0" w:right="0" w:firstLine="880" w:firstLineChars="200"/>
        <w:jc w:val="both"/>
        <w:rPr>
          <w:rFonts w:hint="eastAsia" w:ascii="黑体" w:hAnsi="黑体" w:eastAsia="黑体" w:cs="黑体"/>
          <w:sz w:val="44"/>
          <w:szCs w:val="44"/>
          <w:lang w:val="en-US" w:eastAsia="zh-CN"/>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Nimbus Roman No9 L"/>
    <w:panose1 w:val="02020603050405020304"/>
    <w:charset w:val="01"/>
    <w:family w:val="auto"/>
    <w:pitch w:val="default"/>
    <w:sig w:usb0="00000000" w:usb1="00000000" w:usb2="00000009" w:usb3="00000000" w:csb0="400001FF" w:csb1="FFFF0000"/>
  </w:font>
  <w:font w:name="宋体">
    <w:altName w:val="方正书宋_GBK"/>
    <w:panose1 w:val="02010600030101010101"/>
    <w:charset w:val="7A"/>
    <w:family w:val="auto"/>
    <w:pitch w:val="default"/>
    <w:sig w:usb0="00000000" w:usb1="0000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等线">
    <w:altName w:val="汉仪中宋简"/>
    <w:panose1 w:val="02010600030101010101"/>
    <w:charset w:val="00"/>
    <w:family w:val="auto"/>
    <w:pitch w:val="default"/>
    <w:sig w:usb0="00000000" w:usb1="00000000" w:usb2="00000016" w:usb3="00000000" w:csb0="0004000F" w:csb1="00000000"/>
  </w:font>
  <w:font w:name="方正小标宋简体">
    <w:panose1 w:val="02000000000000000000"/>
    <w:charset w:val="86"/>
    <w:family w:val="auto"/>
    <w:pitch w:val="default"/>
    <w:sig w:usb0="A00002BF" w:usb1="184F6CFA" w:usb2="00000012" w:usb3="00000000" w:csb0="00040001" w:csb1="00000000"/>
  </w:font>
  <w:font w:name="楷体">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汉仪书宋二S">
    <w:altName w:val="方正书宋_GBK"/>
    <w:panose1 w:val="00000000000000000000"/>
    <w:charset w:val="00"/>
    <w:family w:val="auto"/>
    <w:pitch w:val="default"/>
    <w:sig w:usb0="00000000" w:usb1="00000000" w:usb2="00000000" w:usb3="00000000" w:csb0="00000000" w:csb1="00000000"/>
  </w:font>
  <w:font w:name="方正书宋_GBK">
    <w:panose1 w:val="02000000000000000000"/>
    <w:charset w:val="86"/>
    <w:family w:val="auto"/>
    <w:pitch w:val="default"/>
    <w:sig w:usb0="00000001" w:usb1="08000000" w:usb2="00000000" w:usb3="00000000" w:csb0="00040000" w:csb1="00000000"/>
  </w:font>
  <w:font w:name="汉仪中宋简">
    <w:panose1 w:val="02010600000101010101"/>
    <w:charset w:val="86"/>
    <w:family w:val="auto"/>
    <w:pitch w:val="default"/>
    <w:sig w:usb0="00000001" w:usb1="080E0800" w:usb2="00000002" w:usb3="00000000" w:csb0="00040000" w:csb1="00000000"/>
  </w:font>
  <w:font w:name="Nimbus Roman No9 L">
    <w:panose1 w:val="00000000000000000000"/>
    <w:charset w:val="00"/>
    <w:family w:val="auto"/>
    <w:pitch w:val="default"/>
    <w:sig w:usb0="00000000" w:usb1="00000000" w:usb2="00000000" w:usb3="00000000" w:csb0="00000000"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tabs>
                              <w:tab w:val="center" w:pos="4153"/>
                              <w:tab w:val="right" w:pos="8306"/>
                            </w:tabs>
                            <w:rPr>
                              <w:rFonts w:ascii="Times New Roman" w:hAnsi="Times New Roman" w:eastAsia="宋体" w:cs="Times New Roman"/>
                              <w:sz w:val="28"/>
                              <w:szCs w:val="28"/>
                            </w:rPr>
                          </w:pPr>
                          <w:r>
                            <w:rPr>
                              <w:rFonts w:ascii="Times New Roman" w:hAnsi="Times New Roman" w:eastAsia="宋体" w:cs="Times New Roman"/>
                              <w:sz w:val="28"/>
                              <w:szCs w:val="28"/>
                            </w:rPr>
                            <w:fldChar w:fldCharType="begin"/>
                          </w:r>
                          <w:r>
                            <w:rPr>
                              <w:rFonts w:ascii="Times New Roman" w:hAnsi="Times New Roman" w:eastAsia="宋体" w:cs="Times New Roman"/>
                              <w:sz w:val="28"/>
                              <w:szCs w:val="28"/>
                            </w:rPr>
                            <w:instrText xml:space="preserve"> PAGE  \* MERGEFORMAT </w:instrText>
                          </w:r>
                          <w:r>
                            <w:rPr>
                              <w:rFonts w:ascii="Times New Roman" w:hAnsi="Times New Roman" w:eastAsia="宋体" w:cs="Times New Roman"/>
                              <w:sz w:val="28"/>
                              <w:szCs w:val="28"/>
                            </w:rPr>
                            <w:fldChar w:fldCharType="separate"/>
                          </w:r>
                          <w:r>
                            <w:rPr>
                              <w:rFonts w:ascii="Times New Roman" w:hAnsi="Times New Roman" w:eastAsia="宋体" w:cs="Times New Roman"/>
                              <w:sz w:val="28"/>
                              <w:szCs w:val="28"/>
                            </w:rPr>
                            <w:t>1</w:t>
                          </w:r>
                          <w:r>
                            <w:rPr>
                              <w:rFonts w:ascii="Times New Roman" w:hAnsi="Times New Roman" w:eastAsia="宋体" w:cs="Times New Roman"/>
                              <w:sz w:val="28"/>
                              <w:szCs w:val="28"/>
                            </w:rP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FgAAAGRycy9QSwECFAAUAAAACACH&#10;TuJAs0lY7tAAAAAFAQAADwAAAAAAAAABACAAAAA4AAAAZHJzL2Rvd25yZXYueG1sUEsBAhQAFAAA&#10;AAgAh07iQCYa0m4aAgAAKQQAAA4AAAAAAAAAAQAgAAAANQEAAGRycy9lMm9Eb2MueG1sUEsFBgAA&#10;AAAGAAYAWQEAAMEFAAAAAA==&#10;">
              <v:fill on="f" focussize="0,0"/>
              <v:stroke on="f" weight="0.5pt"/>
              <v:imagedata o:title=""/>
              <o:lock v:ext="edit" aspectratio="f"/>
              <v:textbox inset="0mm,0mm,0mm,0mm" style="mso-fit-shape-to-text:t;">
                <w:txbxContent>
                  <w:p>
                    <w:pPr>
                      <w:pStyle w:val="7"/>
                      <w:tabs>
                        <w:tab w:val="center" w:pos="4153"/>
                        <w:tab w:val="right" w:pos="8306"/>
                      </w:tabs>
                      <w:rPr>
                        <w:rFonts w:ascii="Times New Roman" w:hAnsi="Times New Roman" w:eastAsia="宋体" w:cs="Times New Roman"/>
                        <w:sz w:val="28"/>
                        <w:szCs w:val="28"/>
                      </w:rPr>
                    </w:pPr>
                    <w:r>
                      <w:rPr>
                        <w:rFonts w:ascii="Times New Roman" w:hAnsi="Times New Roman" w:eastAsia="宋体" w:cs="Times New Roman"/>
                        <w:sz w:val="28"/>
                        <w:szCs w:val="28"/>
                      </w:rPr>
                      <w:fldChar w:fldCharType="begin"/>
                    </w:r>
                    <w:r>
                      <w:rPr>
                        <w:rFonts w:ascii="Times New Roman" w:hAnsi="Times New Roman" w:eastAsia="宋体" w:cs="Times New Roman"/>
                        <w:sz w:val="28"/>
                        <w:szCs w:val="28"/>
                      </w:rPr>
                      <w:instrText xml:space="preserve"> PAGE  \* MERGEFORMAT </w:instrText>
                    </w:r>
                    <w:r>
                      <w:rPr>
                        <w:rFonts w:ascii="Times New Roman" w:hAnsi="Times New Roman" w:eastAsia="宋体" w:cs="Times New Roman"/>
                        <w:sz w:val="28"/>
                        <w:szCs w:val="28"/>
                      </w:rPr>
                      <w:fldChar w:fldCharType="separate"/>
                    </w:r>
                    <w:r>
                      <w:rPr>
                        <w:rFonts w:ascii="Times New Roman" w:hAnsi="Times New Roman" w:eastAsia="宋体" w:cs="Times New Roman"/>
                        <w:sz w:val="28"/>
                        <w:szCs w:val="28"/>
                      </w:rPr>
                      <w:t>1</w:t>
                    </w:r>
                    <w:r>
                      <w:rPr>
                        <w:rFonts w:ascii="Times New Roman" w:hAnsi="Times New Roman" w:eastAsia="宋体" w:cs="Times New Roman"/>
                        <w:sz w:val="28"/>
                        <w:szCs w:val="2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false"/>
  <w:bordersDoNotSurroundFooter w:val="fals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FF66DB4E"/>
    <w:rsid w:val="03D39BEF"/>
    <w:rsid w:val="1CA71FBE"/>
    <w:rsid w:val="1DF711A1"/>
    <w:rsid w:val="28FB3106"/>
    <w:rsid w:val="2ED67B7E"/>
    <w:rsid w:val="3B7FEA00"/>
    <w:rsid w:val="3BFBF400"/>
    <w:rsid w:val="3C3B78B9"/>
    <w:rsid w:val="3E23C8B6"/>
    <w:rsid w:val="3EFBD9C9"/>
    <w:rsid w:val="3F6E3B40"/>
    <w:rsid w:val="4D7F0BB8"/>
    <w:rsid w:val="56D27DA9"/>
    <w:rsid w:val="594FE3AA"/>
    <w:rsid w:val="6F13B72D"/>
    <w:rsid w:val="6F3994C8"/>
    <w:rsid w:val="6FF7EB78"/>
    <w:rsid w:val="74FE82E4"/>
    <w:rsid w:val="75E736D2"/>
    <w:rsid w:val="77D93907"/>
    <w:rsid w:val="79BEBCEC"/>
    <w:rsid w:val="79FB1461"/>
    <w:rsid w:val="7AF628B2"/>
    <w:rsid w:val="7AFF3E8D"/>
    <w:rsid w:val="7B9A1DEB"/>
    <w:rsid w:val="7BED93A0"/>
    <w:rsid w:val="7CA7824D"/>
    <w:rsid w:val="7CD41307"/>
    <w:rsid w:val="7D3F383F"/>
    <w:rsid w:val="7DBAFA47"/>
    <w:rsid w:val="7EDA6956"/>
    <w:rsid w:val="7F3D57C8"/>
    <w:rsid w:val="7F6E2660"/>
    <w:rsid w:val="7F79ECC4"/>
    <w:rsid w:val="7FA9DE28"/>
    <w:rsid w:val="7FE2D04A"/>
    <w:rsid w:val="7FEF1360"/>
    <w:rsid w:val="7FFD271E"/>
    <w:rsid w:val="8DFA7736"/>
    <w:rsid w:val="ADB70E93"/>
    <w:rsid w:val="B5767867"/>
    <w:rsid w:val="B7F933B4"/>
    <w:rsid w:val="B9AA4DE4"/>
    <w:rsid w:val="B9B52EE1"/>
    <w:rsid w:val="BB7ADE20"/>
    <w:rsid w:val="BDBFDD5E"/>
    <w:rsid w:val="BF560A80"/>
    <w:rsid w:val="BFBC2E75"/>
    <w:rsid w:val="BFC9F081"/>
    <w:rsid w:val="BFFAC451"/>
    <w:rsid w:val="BFFF9257"/>
    <w:rsid w:val="BFFFCF57"/>
    <w:rsid w:val="C7CFF2A6"/>
    <w:rsid w:val="CF93F5B6"/>
    <w:rsid w:val="D4993B93"/>
    <w:rsid w:val="D7ACDF85"/>
    <w:rsid w:val="D7FB30F3"/>
    <w:rsid w:val="DB7FCEA2"/>
    <w:rsid w:val="E23F69C9"/>
    <w:rsid w:val="E3AB588F"/>
    <w:rsid w:val="E3EAD8EB"/>
    <w:rsid w:val="E3FE2662"/>
    <w:rsid w:val="E3FECA8D"/>
    <w:rsid w:val="ED7D0978"/>
    <w:rsid w:val="EDF51C30"/>
    <w:rsid w:val="EDFB6CA7"/>
    <w:rsid w:val="EDFF64DC"/>
    <w:rsid w:val="EDFF9F53"/>
    <w:rsid w:val="EE77F2E9"/>
    <w:rsid w:val="EFBC9323"/>
    <w:rsid w:val="EFF80DE8"/>
    <w:rsid w:val="F2FEF668"/>
    <w:rsid w:val="F549B91E"/>
    <w:rsid w:val="F59B6DAD"/>
    <w:rsid w:val="F5EADC46"/>
    <w:rsid w:val="F77DD749"/>
    <w:rsid w:val="FAF6216E"/>
    <w:rsid w:val="FB716C7E"/>
    <w:rsid w:val="FBF74D67"/>
    <w:rsid w:val="FBF7964A"/>
    <w:rsid w:val="FDEBE1BF"/>
    <w:rsid w:val="FDF1C0F9"/>
    <w:rsid w:val="FDFF6CCB"/>
    <w:rsid w:val="FEFFDFB8"/>
    <w:rsid w:val="FF66DB4E"/>
    <w:rsid w:val="FF6F3C9D"/>
    <w:rsid w:val="FFF967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等线" w:hAnsi="等线" w:eastAsia="等线" w:cs="Times New Roman"/>
      <w:kern w:val="2"/>
      <w:sz w:val="21"/>
      <w:szCs w:val="22"/>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6">
    <w:name w:val="标题1"/>
    <w:next w:val="1"/>
    <w:qFormat/>
    <w:uiPriority w:val="0"/>
    <w:pPr>
      <w:widowControl w:val="0"/>
      <w:jc w:val="center"/>
      <w:outlineLvl w:val="0"/>
    </w:pPr>
    <w:rPr>
      <w:rFonts w:ascii="Arial" w:hAnsi="Arial" w:eastAsia="宋体" w:cs="Times New Roman"/>
      <w:b/>
      <w:kern w:val="2"/>
      <w:sz w:val="32"/>
      <w:szCs w:val="24"/>
      <w:lang w:val="en-US" w:eastAsia="zh-CN" w:bidi="ar-SA"/>
    </w:rPr>
  </w:style>
  <w:style w:type="paragraph" w:customStyle="1" w:styleId="7">
    <w:name w:val="页脚 New"/>
    <w:basedOn w:val="8"/>
    <w:qFormat/>
    <w:uiPriority w:val="0"/>
    <w:pPr>
      <w:snapToGrid w:val="0"/>
      <w:jc w:val="left"/>
    </w:pPr>
    <w:rPr>
      <w:sz w:val="18"/>
      <w:szCs w:val="18"/>
    </w:rPr>
  </w:style>
  <w:style w:type="paragraph" w:customStyle="1" w:styleId="8">
    <w:name w:val="正文 New"/>
    <w:qFormat/>
    <w:uiPriority w:val="0"/>
    <w:pPr>
      <w:widowControl w:val="0"/>
      <w:jc w:val="both"/>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1</Lines>
  <Paragraphs>1</Paragraphs>
  <TotalTime>23</TotalTime>
  <ScaleCrop>false</ScaleCrop>
  <LinksUpToDate>false</LinksUpToDate>
  <CharactersWithSpaces>0</CharactersWithSpaces>
  <Application>WPS Office_11.8.2.10125_F1E327BC-269C-435d-A152-05C5408002CA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2024-09-19T09:57:00Z</dcterms:created>
  <dc:creator>x</dc:creator>
  <cp:lastModifiedBy>user</cp:lastModifiedBy>
  <cp:lastPrinted>2025-08-16T08:49:00Z</cp:lastPrinted>
  <dcterms:modified xsi:type="dcterms:W3CDTF">2025-08-22T08:43:25Z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2052-11.8.2.10125</vt:lpwstr>
  </property>
  <property fmtid="{D5CDD505-2E9C-101B-9397-08002B2CF9AE}" pid="3" name="ICV">
    <vt:lpwstr>2AF9EEABC95752E49F4AE26693656B9A</vt:lpwstr>
  </property>
</Properties>
</file>